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7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right="2400" w:hanging="452"/>
        <w:spacing w:after="0" w:line="306"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2012</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360" w:right="2040" w:hanging="4352"/>
        <w:spacing w:after="0" w:line="338" w:lineRule="auto"/>
        <w:tabs>
          <w:tab w:leader="none" w:pos="45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001-33808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41910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SYMETRA FINANCIAL CORPORATION</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80" w:type="dxa"/>
            <w:vAlign w:val="bottom"/>
            <w:gridSpan w:val="5"/>
          </w:tcPr>
          <w:p>
            <w:pPr>
              <w:jc w:val="center"/>
              <w:ind w:left="246"/>
              <w:spacing w:after="0"/>
              <w:rPr>
                <w:sz w:val="20"/>
                <w:szCs w:val="20"/>
                <w:color w:val="auto"/>
              </w:rPr>
            </w:pPr>
            <w:r>
              <w:rPr>
                <w:rFonts w:ascii="Arial" w:cs="Arial" w:eastAsia="Arial" w:hAnsi="Arial"/>
                <w:sz w:val="18"/>
                <w:szCs w:val="18"/>
                <w:b w:val="1"/>
                <w:bCs w:val="1"/>
                <w:i w:val="1"/>
                <w:iCs w:val="1"/>
                <w:color w:val="auto"/>
                <w:w w:val="87"/>
              </w:rPr>
              <w:t>(</w:t>
            </w:r>
            <w:r>
              <w:rPr>
                <w:rFonts w:ascii="Arial" w:cs="Arial" w:eastAsia="Arial" w:hAnsi="Arial"/>
                <w:sz w:val="18"/>
                <w:szCs w:val="18"/>
                <w:b w:val="1"/>
                <w:bCs w:val="1"/>
                <w:color w:val="auto"/>
                <w:w w:val="87"/>
              </w:rPr>
              <w:t>Exact name of registrant as specified in its charter</w:t>
            </w:r>
            <w:r>
              <w:rPr>
                <w:rFonts w:ascii="Arial" w:cs="Arial" w:eastAsia="Arial" w:hAnsi="Arial"/>
                <w:sz w:val="18"/>
                <w:szCs w:val="18"/>
                <w:b w:val="1"/>
                <w:bCs w:val="1"/>
                <w:i w:val="1"/>
                <w:iCs w:val="1"/>
                <w:color w:val="auto"/>
                <w:w w:val="87"/>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340" w:type="dxa"/>
            <w:vAlign w:val="bottom"/>
          </w:tcPr>
          <w:p>
            <w:pPr>
              <w:spacing w:after="0"/>
              <w:rPr>
                <w:sz w:val="16"/>
                <w:szCs w:val="16"/>
                <w:color w:val="auto"/>
              </w:rPr>
            </w:pPr>
          </w:p>
        </w:tc>
        <w:tc>
          <w:tcPr>
            <w:tcW w:w="5060" w:type="dxa"/>
            <w:vAlign w:val="bottom"/>
            <w:gridSpan w:val="5"/>
          </w:tcPr>
          <w:p>
            <w:pPr>
              <w:jc w:val="center"/>
              <w:ind w:right="4000"/>
              <w:spacing w:after="0"/>
              <w:rPr>
                <w:sz w:val="20"/>
                <w:szCs w:val="20"/>
                <w:color w:val="auto"/>
              </w:rPr>
            </w:pPr>
            <w:r>
              <w:rPr>
                <w:rFonts w:ascii="Arial" w:cs="Arial" w:eastAsia="Arial" w:hAnsi="Arial"/>
                <w:sz w:val="14"/>
                <w:szCs w:val="14"/>
                <w:b w:val="1"/>
                <w:bCs w:val="1"/>
                <w:color w:val="auto"/>
                <w:w w:val="87"/>
              </w:rPr>
              <w:t>Delaware</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jc w:val="center"/>
              <w:ind w:right="812"/>
              <w:spacing w:after="0"/>
              <w:rPr>
                <w:sz w:val="20"/>
                <w:szCs w:val="20"/>
                <w:color w:val="auto"/>
              </w:rPr>
            </w:pPr>
            <w:r>
              <w:rPr>
                <w:rFonts w:ascii="Arial" w:cs="Arial" w:eastAsia="Arial" w:hAnsi="Arial"/>
                <w:sz w:val="14"/>
                <w:szCs w:val="14"/>
                <w:b w:val="1"/>
                <w:bCs w:val="1"/>
                <w:color w:val="auto"/>
                <w:w w:val="85"/>
              </w:rPr>
              <w:t>20-0978027</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00" w:type="dxa"/>
            <w:vAlign w:val="bottom"/>
            <w:gridSpan w:val="6"/>
          </w:tcPr>
          <w:p>
            <w:pPr>
              <w:jc w:val="center"/>
              <w:ind w:right="168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jc w:val="center"/>
              <w:ind w:right="1640"/>
              <w:spacing w:after="0" w:line="149" w:lineRule="exact"/>
              <w:rPr>
                <w:sz w:val="20"/>
                <w:szCs w:val="20"/>
                <w:color w:val="auto"/>
              </w:rPr>
            </w:pPr>
            <w:r>
              <w:rPr>
                <w:rFonts w:ascii="Arial" w:cs="Arial" w:eastAsia="Arial" w:hAnsi="Arial"/>
                <w:sz w:val="14"/>
                <w:szCs w:val="14"/>
                <w:b w:val="1"/>
                <w:bCs w:val="1"/>
                <w:color w:val="auto"/>
                <w:w w:val="89"/>
              </w:rPr>
              <w:t>(I.R.S. Employer</w:t>
            </w:r>
          </w:p>
        </w:tc>
        <w:tc>
          <w:tcPr>
            <w:tcW w:w="0" w:type="dxa"/>
            <w:vAlign w:val="bottom"/>
          </w:tcPr>
          <w:p>
            <w:pPr>
              <w:spacing w:after="0"/>
              <w:rPr>
                <w:sz w:val="1"/>
                <w:szCs w:val="1"/>
                <w:color w:val="auto"/>
              </w:rPr>
            </w:pPr>
          </w:p>
        </w:tc>
      </w:tr>
      <w:tr>
        <w:trPr>
          <w:trHeight w:val="174"/>
        </w:trPr>
        <w:tc>
          <w:tcPr>
            <w:tcW w:w="7400" w:type="dxa"/>
            <w:vAlign w:val="bottom"/>
            <w:gridSpan w:val="6"/>
          </w:tcPr>
          <w:p>
            <w:pPr>
              <w:jc w:val="center"/>
              <w:ind w:right="1680"/>
              <w:spacing w:after="0"/>
              <w:rPr>
                <w:sz w:val="20"/>
                <w:szCs w:val="20"/>
                <w:color w:val="auto"/>
              </w:rPr>
            </w:pPr>
            <w:r>
              <w:rPr>
                <w:rFonts w:ascii="Arial" w:cs="Arial" w:eastAsia="Arial" w:hAnsi="Arial"/>
                <w:sz w:val="14"/>
                <w:szCs w:val="14"/>
                <w:b w:val="1"/>
                <w:bCs w:val="1"/>
                <w:color w:val="auto"/>
                <w:w w:val="88"/>
              </w:rPr>
              <w:t>incorporation or organization)</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2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190"/>
        </w:trPr>
        <w:tc>
          <w:tcPr>
            <w:tcW w:w="2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6"/>
              </w:rPr>
              <w:t>777 108th Avenue NE, Suite 1200</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Bellevue, Washington 98004</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980" w:type="dxa"/>
            <w:vAlign w:val="bottom"/>
            <w:gridSpan w:val="4"/>
          </w:tcPr>
          <w:p>
            <w:pPr>
              <w:jc w:val="center"/>
              <w:ind w:left="526"/>
              <w:spacing w:after="0" w:line="147" w:lineRule="exact"/>
              <w:rPr>
                <w:sz w:val="20"/>
                <w:szCs w:val="20"/>
                <w:color w:val="auto"/>
              </w:rPr>
            </w:pPr>
            <w:r>
              <w:rPr>
                <w:rFonts w:ascii="Arial" w:cs="Arial" w:eastAsia="Arial" w:hAnsi="Arial"/>
                <w:sz w:val="14"/>
                <w:szCs w:val="14"/>
                <w:b w:val="1"/>
                <w:bCs w:val="1"/>
                <w:color w:val="auto"/>
                <w:w w:val="85"/>
              </w:rPr>
              <w:t>(Address of principal executive offices, including zip code)</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6900" w:type="dxa"/>
            <w:vAlign w:val="bottom"/>
            <w:gridSpan w:val="4"/>
          </w:tcPr>
          <w:p>
            <w:pPr>
              <w:jc w:val="center"/>
              <w:ind w:left="4447"/>
              <w:spacing w:after="0"/>
              <w:rPr>
                <w:sz w:val="20"/>
                <w:szCs w:val="20"/>
                <w:color w:val="auto"/>
              </w:rPr>
            </w:pPr>
            <w:r>
              <w:rPr>
                <w:rFonts w:ascii="Arial" w:cs="Arial" w:eastAsia="Arial" w:hAnsi="Arial"/>
                <w:sz w:val="18"/>
                <w:szCs w:val="18"/>
                <w:b w:val="1"/>
                <w:bCs w:val="1"/>
                <w:color w:val="auto"/>
                <w:w w:val="89"/>
              </w:rPr>
              <w:t>(425) 256-8000</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980" w:type="dxa"/>
            <w:vAlign w:val="bottom"/>
            <w:gridSpan w:val="4"/>
          </w:tcPr>
          <w:p>
            <w:pPr>
              <w:jc w:val="center"/>
              <w:ind w:left="526"/>
              <w:spacing w:after="0" w:line="149" w:lineRule="exact"/>
              <w:rPr>
                <w:sz w:val="20"/>
                <w:szCs w:val="20"/>
                <w:color w:val="auto"/>
              </w:rPr>
            </w:pPr>
            <w:r>
              <w:rPr>
                <w:rFonts w:ascii="Arial" w:cs="Arial" w:eastAsia="Arial" w:hAnsi="Arial"/>
                <w:sz w:val="14"/>
                <w:szCs w:val="14"/>
                <w:b w:val="1"/>
                <w:bCs w:val="1"/>
                <w:color w:val="auto"/>
                <w:w w:val="86"/>
              </w:rPr>
              <w:t>(Registrant’s telephone number, including area code)</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980" w:type="dxa"/>
            <w:vAlign w:val="bottom"/>
            <w:gridSpan w:val="4"/>
          </w:tcPr>
          <w:p>
            <w:pPr>
              <w:jc w:val="center"/>
              <w:ind w:left="526"/>
              <w:spacing w:after="0"/>
              <w:rPr>
                <w:sz w:val="20"/>
                <w:szCs w:val="20"/>
                <w:color w:val="auto"/>
              </w:rPr>
            </w:pPr>
            <w:r>
              <w:rPr>
                <w:rFonts w:ascii="Arial" w:cs="Arial" w:eastAsia="Arial" w:hAnsi="Arial"/>
                <w:sz w:val="14"/>
                <w:szCs w:val="14"/>
                <w:b w:val="1"/>
                <w:bCs w:val="1"/>
                <w:color w:val="auto"/>
                <w:w w:val="85"/>
              </w:rPr>
              <w:t>Securities registered pursuant to Section 12(b) of the Act:</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3920" w:type="dxa"/>
            <w:vAlign w:val="bottom"/>
            <w:gridSpan w:val="3"/>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20" w:type="dxa"/>
            <w:vAlign w:val="bottom"/>
            <w:gridSpan w:val="2"/>
          </w:tcPr>
          <w:p>
            <w:pPr>
              <w:ind w:left="1300"/>
              <w:spacing w:after="0"/>
              <w:rPr>
                <w:sz w:val="20"/>
                <w:szCs w:val="20"/>
                <w:color w:val="auto"/>
              </w:rPr>
            </w:pPr>
            <w:r>
              <w:rPr>
                <w:rFonts w:ascii="Arial" w:cs="Arial" w:eastAsia="Arial" w:hAnsi="Arial"/>
                <w:sz w:val="18"/>
                <w:szCs w:val="18"/>
                <w:b w:val="1"/>
                <w:bCs w:val="1"/>
                <w:color w:val="auto"/>
                <w:w w:val="88"/>
              </w:rPr>
              <w:t>Common Stock, par value $</w:t>
            </w:r>
          </w:p>
        </w:tc>
        <w:tc>
          <w:tcPr>
            <w:tcW w:w="3980" w:type="dxa"/>
            <w:vAlign w:val="bottom"/>
            <w:gridSpan w:val="4"/>
          </w:tcPr>
          <w:p>
            <w:pPr>
              <w:spacing w:after="0"/>
              <w:rPr>
                <w:sz w:val="20"/>
                <w:szCs w:val="20"/>
                <w:color w:val="auto"/>
              </w:rPr>
            </w:pPr>
            <w:r>
              <w:rPr>
                <w:rFonts w:ascii="Arial" w:cs="Arial" w:eastAsia="Arial" w:hAnsi="Arial"/>
                <w:sz w:val="18"/>
                <w:szCs w:val="18"/>
                <w:b w:val="1"/>
                <w:bCs w:val="1"/>
                <w:color w:val="auto"/>
              </w:rPr>
              <w:t>0.01 per share</w:t>
            </w:r>
          </w:p>
        </w:tc>
        <w:tc>
          <w:tcPr>
            <w:tcW w:w="3660" w:type="dxa"/>
            <w:vAlign w:val="bottom"/>
            <w:gridSpan w:val="5"/>
          </w:tcPr>
          <w:p>
            <w:pPr>
              <w:jc w:val="center"/>
              <w:ind w:right="1100"/>
              <w:spacing w:after="0"/>
              <w:rPr>
                <w:sz w:val="20"/>
                <w:szCs w:val="20"/>
                <w:color w:val="auto"/>
              </w:rPr>
            </w:pPr>
            <w:r>
              <w:rPr>
                <w:rFonts w:ascii="Arial" w:cs="Arial" w:eastAsia="Arial" w:hAnsi="Arial"/>
                <w:sz w:val="18"/>
                <w:szCs w:val="18"/>
                <w:b w:val="1"/>
                <w:bCs w:val="1"/>
                <w:color w:val="auto"/>
                <w:w w:val="88"/>
              </w:rPr>
              <w:t>New York Stock Exchange</w:t>
            </w:r>
          </w:p>
        </w:tc>
        <w:tc>
          <w:tcPr>
            <w:tcW w:w="0" w:type="dxa"/>
            <w:vAlign w:val="bottom"/>
          </w:tcPr>
          <w:p>
            <w:pPr>
              <w:spacing w:after="0"/>
              <w:rPr>
                <w:sz w:val="1"/>
                <w:szCs w:val="1"/>
                <w:color w:val="auto"/>
              </w:rPr>
            </w:pPr>
          </w:p>
        </w:tc>
      </w:tr>
      <w:tr>
        <w:trPr>
          <w:trHeight w:val="176"/>
        </w:trPr>
        <w:tc>
          <w:tcPr>
            <w:tcW w:w="2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980" w:type="dxa"/>
            <w:vAlign w:val="bottom"/>
            <w:gridSpan w:val="4"/>
          </w:tcPr>
          <w:p>
            <w:pPr>
              <w:jc w:val="center"/>
              <w:ind w:left="526"/>
              <w:spacing w:after="0"/>
              <w:rPr>
                <w:sz w:val="20"/>
                <w:szCs w:val="20"/>
                <w:color w:val="auto"/>
              </w:rPr>
            </w:pPr>
            <w:r>
              <w:rPr>
                <w:rFonts w:ascii="Arial" w:cs="Arial" w:eastAsia="Arial" w:hAnsi="Arial"/>
                <w:sz w:val="14"/>
                <w:szCs w:val="14"/>
                <w:b w:val="1"/>
                <w:bCs w:val="1"/>
                <w:color w:val="auto"/>
                <w:w w:val="85"/>
              </w:rPr>
              <w:t>Securities registered pursuant to Section 12(g) of the Act:</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4"/>
              </w:rPr>
              <w:t>None</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4520" w:type="dxa"/>
            <w:vAlign w:val="bottom"/>
            <w:gridSpan w:val="3"/>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800" w:type="dxa"/>
            <w:vAlign w:val="bottom"/>
            <w:gridSpan w:val="3"/>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00" w:type="dxa"/>
            <w:vAlign w:val="bottom"/>
            <w:gridSpan w:val="7"/>
          </w:tcPr>
          <w:p>
            <w:pPr>
              <w:ind w:left="360"/>
              <w:spacing w:after="0" w:line="161" w:lineRule="exact"/>
              <w:rPr>
                <w:sz w:val="20"/>
                <w:szCs w:val="20"/>
                <w:color w:val="auto"/>
              </w:rPr>
            </w:pPr>
            <w:r>
              <w:rPr>
                <w:rFonts w:ascii="Arial" w:cs="Arial" w:eastAsia="Arial" w:hAnsi="Arial"/>
                <w:sz w:val="14"/>
                <w:szCs w:val="14"/>
                <w:color w:val="auto"/>
                <w:w w:val="90"/>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0"/>
              </w:rPr>
              <w:t>☒</w:t>
            </w:r>
            <w:r>
              <w:rPr>
                <w:rFonts w:ascii="Arial" w:cs="Arial" w:eastAsia="Arial" w:hAnsi="Arial"/>
                <w:sz w:val="14"/>
                <w:szCs w:val="14"/>
                <w:color w:val="auto"/>
                <w:w w:val="90"/>
              </w:rPr>
              <w:t xml:space="preserve"> No </w:t>
            </w:r>
            <w:r>
              <w:rPr>
                <w:rFonts w:ascii="MS PGothic" w:cs="MS PGothic" w:eastAsia="MS PGothic" w:hAnsi="MS PGothic"/>
                <w:sz w:val="14"/>
                <w:szCs w:val="14"/>
                <w:color w:val="auto"/>
                <w:w w:val="90"/>
              </w:rPr>
              <w:t>☐</w:t>
            </w:r>
          </w:p>
        </w:tc>
        <w:tc>
          <w:tcPr>
            <w:tcW w:w="24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w w:val="99"/>
              </w:rPr>
              <w:t>☐</w:t>
            </w:r>
          </w:p>
        </w:tc>
        <w:tc>
          <w:tcPr>
            <w:tcW w:w="280" w:type="dxa"/>
            <w:vAlign w:val="bottom"/>
          </w:tcPr>
          <w:p>
            <w:pPr>
              <w:spacing w:after="0"/>
              <w:rPr>
                <w:sz w:val="19"/>
                <w:szCs w:val="19"/>
                <w:color w:val="auto"/>
              </w:rPr>
            </w:pPr>
          </w:p>
        </w:tc>
        <w:tc>
          <w:tcPr>
            <w:tcW w:w="2840" w:type="dxa"/>
            <w:vAlign w:val="bottom"/>
            <w:gridSpan w:val="2"/>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3"/>
        </w:trPr>
        <w:tc>
          <w:tcPr>
            <w:tcW w:w="7400" w:type="dxa"/>
            <w:vAlign w:val="bottom"/>
            <w:gridSpan w:val="6"/>
          </w:tcPr>
          <w:p>
            <w:pPr>
              <w:ind w:left="360"/>
              <w:spacing w:after="0"/>
              <w:rPr>
                <w:sz w:val="20"/>
                <w:szCs w:val="20"/>
                <w:color w:val="auto"/>
              </w:rPr>
            </w:pPr>
            <w:r>
              <w:rPr>
                <w:rFonts w:ascii="Arial" w:cs="Arial" w:eastAsia="Arial" w:hAnsi="Arial"/>
                <w:sz w:val="14"/>
                <w:szCs w:val="14"/>
                <w:color w:val="auto"/>
                <w:w w:val="88"/>
              </w:rPr>
              <w:t>Indicate by check mark if the registrant is not required to file reports pursuant to Section 13 or Section 15(d) of the Exchange Act.</w:t>
            </w:r>
          </w:p>
        </w:tc>
        <w:tc>
          <w:tcPr>
            <w:tcW w:w="300" w:type="dxa"/>
            <w:vAlign w:val="bottom"/>
          </w:tcPr>
          <w:p>
            <w:pPr>
              <w:ind w:left="100"/>
              <w:spacing w:after="0"/>
              <w:rPr>
                <w:sz w:val="20"/>
                <w:szCs w:val="20"/>
                <w:color w:val="auto"/>
              </w:rPr>
            </w:pPr>
            <w:r>
              <w:rPr>
                <w:rFonts w:ascii="Arial" w:cs="Arial" w:eastAsia="Arial" w:hAnsi="Arial"/>
                <w:sz w:val="14"/>
                <w:szCs w:val="14"/>
                <w:color w:val="auto"/>
                <w:w w:val="74"/>
              </w:rPr>
              <w:t>Yes</w:t>
            </w:r>
          </w:p>
        </w:tc>
        <w:tc>
          <w:tcPr>
            <w:tcW w:w="240" w:type="dxa"/>
            <w:vAlign w:val="bottom"/>
            <w:vMerge w:val="continue"/>
          </w:tcPr>
          <w:p>
            <w:pPr>
              <w:spacing w:after="0"/>
              <w:rPr>
                <w:sz w:val="17"/>
                <w:szCs w:val="17"/>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No</w:t>
            </w:r>
          </w:p>
        </w:tc>
        <w:tc>
          <w:tcPr>
            <w:tcW w:w="2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1060" w:type="dxa"/>
            <w:vAlign w:val="bottom"/>
            <w:gridSpan w:val="11"/>
          </w:tcPr>
          <w:p>
            <w:pPr>
              <w:jc w:val="center"/>
              <w:ind w:left="287"/>
              <w:spacing w:after="0" w:line="149" w:lineRule="exact"/>
              <w:rPr>
                <w:sz w:val="20"/>
                <w:szCs w:val="20"/>
                <w:color w:val="auto"/>
              </w:rPr>
            </w:pPr>
            <w:r>
              <w:rPr>
                <w:rFonts w:ascii="Arial" w:cs="Arial" w:eastAsia="Arial" w:hAnsi="Arial"/>
                <w:sz w:val="14"/>
                <w:szCs w:val="14"/>
                <w:color w:val="auto"/>
                <w:w w:val="87"/>
              </w:rPr>
              <w:t>Indicate by check mark whether the Registrant: (1) has filed all reports required to be filed by Section 13 or 15(d) of the Securities Exchange Act of 1934 during the preceding 12 months (or for such</w:t>
            </w:r>
          </w:p>
        </w:tc>
        <w:tc>
          <w:tcPr>
            <w:tcW w:w="0" w:type="dxa"/>
            <w:vAlign w:val="bottom"/>
          </w:tcPr>
          <w:p>
            <w:pPr>
              <w:spacing w:after="0"/>
              <w:rPr>
                <w:sz w:val="1"/>
                <w:szCs w:val="1"/>
                <w:color w:val="auto"/>
              </w:rPr>
            </w:pPr>
          </w:p>
        </w:tc>
      </w:tr>
      <w:tr>
        <w:trPr>
          <w:trHeight w:val="211"/>
        </w:trPr>
        <w:tc>
          <w:tcPr>
            <w:tcW w:w="7700" w:type="dxa"/>
            <w:vAlign w:val="bottom"/>
            <w:gridSpan w:val="7"/>
          </w:tcPr>
          <w:p>
            <w:pPr>
              <w:spacing w:after="0"/>
              <w:rPr>
                <w:sz w:val="20"/>
                <w:szCs w:val="20"/>
                <w:color w:val="auto"/>
              </w:rPr>
            </w:pPr>
            <w:r>
              <w:rPr>
                <w:rFonts w:ascii="Arial" w:cs="Arial" w:eastAsia="Arial" w:hAnsi="Arial"/>
                <w:sz w:val="14"/>
                <w:szCs w:val="14"/>
                <w:color w:val="auto"/>
                <w:w w:val="88"/>
              </w:rPr>
              <w:t>shorter period that the Registrant was required to file such reports), and (2) has been subject to such filing requirements for the past 90 days.</w:t>
            </w:r>
          </w:p>
        </w:tc>
        <w:tc>
          <w:tcPr>
            <w:tcW w:w="240" w:type="dxa"/>
            <w:vAlign w:val="bottom"/>
          </w:tcPr>
          <w:p>
            <w:pPr>
              <w:ind w:left="20"/>
              <w:spacing w:after="0"/>
              <w:rPr>
                <w:sz w:val="20"/>
                <w:szCs w:val="20"/>
                <w:color w:val="auto"/>
              </w:rPr>
            </w:pPr>
            <w:r>
              <w:rPr>
                <w:rFonts w:ascii="Arial" w:cs="Arial" w:eastAsia="Arial" w:hAnsi="Arial"/>
                <w:sz w:val="14"/>
                <w:szCs w:val="14"/>
                <w:color w:val="auto"/>
                <w:w w:val="82"/>
              </w:rPr>
              <w:t>Yes</w:t>
            </w:r>
          </w:p>
        </w:tc>
        <w:tc>
          <w:tcPr>
            <w:tcW w:w="2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840" w:type="dxa"/>
            <w:vAlign w:val="bottom"/>
            <w:gridSpan w:val="2"/>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7" w:lineRule="exact"/>
        <w:rPr>
          <w:sz w:val="24"/>
          <w:szCs w:val="24"/>
          <w:color w:val="auto"/>
        </w:rPr>
      </w:pPr>
    </w:p>
    <w:p>
      <w:pPr>
        <w:ind w:right="40" w:firstLine="342"/>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7" w:lineRule="exact"/>
        <w:rPr>
          <w:sz w:val="24"/>
          <w:szCs w:val="24"/>
          <w:color w:val="auto"/>
        </w:rPr>
      </w:pPr>
    </w:p>
    <w:p>
      <w:pPr>
        <w:ind w:right="100" w:firstLine="342"/>
        <w:spacing w:after="0" w:line="16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S-X is not contained herein and will not be contained, to the best of registrant’s knowledge, in definitive proxy statements incorporated by reference in Part III of this Form 10-K or any amendment to this Form 10-K. </w:t>
      </w:r>
      <w:r>
        <w:rPr>
          <w:rFonts w:ascii="MS PGothic" w:cs="MS PGothic" w:eastAsia="MS PGothic" w:hAnsi="MS PGothic"/>
          <w:sz w:val="14"/>
          <w:szCs w:val="14"/>
          <w:color w:val="auto"/>
        </w:rPr>
        <w:t>☒</w:t>
      </w:r>
    </w:p>
    <w:p>
      <w:pPr>
        <w:spacing w:after="0" w:line="17" w:lineRule="exact"/>
        <w:rPr>
          <w:sz w:val="24"/>
          <w:szCs w:val="24"/>
          <w:color w:val="auto"/>
        </w:rPr>
      </w:pPr>
    </w:p>
    <w:p>
      <w:pPr>
        <w:ind w:right="500" w:firstLine="342"/>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44" w:lineRule="exact"/>
        <w:rPr>
          <w:sz w:val="24"/>
          <w:szCs w:val="24"/>
          <w:color w:val="auto"/>
        </w:rPr>
      </w:pPr>
    </w:p>
    <w:p>
      <w:pPr>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36" w:lineRule="exact"/>
        <w:rPr>
          <w:sz w:val="24"/>
          <w:szCs w:val="24"/>
          <w:color w:val="auto"/>
        </w:rPr>
      </w:pPr>
    </w:p>
    <w:p>
      <w:pPr>
        <w:sectPr>
          <w:pgSz w:w="11900" w:h="16838" w:orient="portrait"/>
          <w:cols w:equalWidth="0" w:num="4">
            <w:col w:w="1360" w:space="720"/>
            <w:col w:w="6000" w:space="720"/>
            <w:col w:w="1780" w:space="720"/>
            <w:col w:w="120"/>
          </w:cols>
          <w:pgMar w:left="240" w:top="230"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0" w:lineRule="exact"/>
        <w:rPr>
          <w:sz w:val="24"/>
          <w:szCs w:val="24"/>
          <w:color w:val="auto"/>
        </w:rPr>
      </w:pPr>
    </w:p>
    <w:p>
      <w:pPr>
        <w:sectPr>
          <w:pgSz w:w="11900" w:h="16838" w:orient="portrait"/>
          <w:cols w:equalWidth="0" w:num="4">
            <w:col w:w="1360" w:space="720"/>
            <w:col w:w="6000" w:space="720"/>
            <w:col w:w="1780" w:space="720"/>
            <w:col w:w="120"/>
          </w:cols>
          <w:pgMar w:left="240" w:top="230" w:right="239" w:bottom="1440" w:gutter="0" w:footer="0" w:header="0"/>
          <w:type w:val="continuous"/>
        </w:sectPr>
      </w:pPr>
    </w:p>
    <w:p>
      <w:pPr>
        <w:spacing w:after="0" w:line="17" w:lineRule="exact"/>
        <w:rPr>
          <w:sz w:val="24"/>
          <w:szCs w:val="24"/>
          <w:color w:val="auto"/>
        </w:rPr>
      </w:pPr>
    </w:p>
    <w:p>
      <w:pPr>
        <w:ind w:left="360"/>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9" w:lineRule="exact"/>
        <w:rPr>
          <w:sz w:val="24"/>
          <w:szCs w:val="24"/>
          <w:color w:val="auto"/>
        </w:rPr>
      </w:pPr>
    </w:p>
    <w:p>
      <w:pPr>
        <w:sectPr>
          <w:pgSz w:w="11900" w:h="16838" w:orient="portrait"/>
          <w:cols w:equalWidth="0" w:num="5">
            <w:col w:w="6480" w:space="140"/>
            <w:col w:w="200" w:space="60"/>
            <w:col w:w="120" w:space="140"/>
            <w:col w:w="160" w:space="60"/>
            <w:col w:w="4060"/>
          </w:cols>
          <w:pgMar w:left="240" w:top="230" w:right="239" w:bottom="1440" w:gutter="0" w:footer="0" w:header="0"/>
          <w:type w:val="continuous"/>
        </w:sectPr>
      </w:pPr>
    </w:p>
    <w:p>
      <w:pPr>
        <w:ind w:right="60" w:firstLine="342"/>
        <w:spacing w:after="0" w:line="239" w:lineRule="auto"/>
        <w:rPr>
          <w:sz w:val="20"/>
          <w:szCs w:val="20"/>
          <w:color w:val="auto"/>
        </w:rPr>
      </w:pPr>
      <w:r>
        <w:rPr>
          <w:rFonts w:ascii="Arial" w:cs="Arial" w:eastAsia="Arial" w:hAnsi="Arial"/>
          <w:sz w:val="14"/>
          <w:szCs w:val="14"/>
          <w:color w:val="auto"/>
        </w:rPr>
        <w:t>The aggregate market value of the shares of Common Stock held by non-affiliates of the registrant as of June 30, 2012 was approximately $1.1 billion, based on the closing price of $12.62 per share of the Common Stock on the New York Stock Exchange on June 30, 2012.</w:t>
      </w:r>
    </w:p>
    <w:p>
      <w:pPr>
        <w:spacing w:after="0" w:line="30" w:lineRule="exact"/>
        <w:rPr>
          <w:sz w:val="24"/>
          <w:szCs w:val="24"/>
          <w:color w:val="auto"/>
        </w:rPr>
      </w:pPr>
    </w:p>
    <w:p>
      <w:pPr>
        <w:ind w:left="360"/>
        <w:spacing w:after="0"/>
        <w:rPr>
          <w:sz w:val="20"/>
          <w:szCs w:val="20"/>
          <w:color w:val="auto"/>
        </w:rPr>
      </w:pPr>
      <w:r>
        <w:rPr>
          <w:rFonts w:ascii="Arial" w:cs="Arial" w:eastAsia="Arial" w:hAnsi="Arial"/>
          <w:sz w:val="14"/>
          <w:szCs w:val="14"/>
          <w:color w:val="auto"/>
        </w:rPr>
        <w:t>As of February 20, 2013, the Registrant had 119,099,794 common voting shares outstanding, with a par value of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101600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44" w:lineRule="exact"/>
        <w:rPr>
          <w:sz w:val="24"/>
          <w:szCs w:val="24"/>
          <w:color w:val="auto"/>
        </w:rPr>
      </w:pPr>
    </w:p>
    <w:p>
      <w:pPr>
        <w:ind w:right="540" w:firstLine="342"/>
        <w:spacing w:after="0" w:line="318" w:lineRule="auto"/>
        <w:rPr>
          <w:sz w:val="20"/>
          <w:szCs w:val="20"/>
          <w:color w:val="auto"/>
        </w:rPr>
      </w:pPr>
      <w:r>
        <w:rPr>
          <w:rFonts w:ascii="Arial" w:cs="Arial" w:eastAsia="Arial" w:hAnsi="Arial"/>
          <w:sz w:val="12"/>
          <w:szCs w:val="12"/>
          <w:color w:val="auto"/>
        </w:rPr>
        <w:t>Portions of the information required to be furnished to Part III of Form 10-K is herein incorporated by reference from the Registrant’s definitive proxy statement relating to the Annual Meeting of Stockholders to be held on May 2, 2013, which will be filed with the Securities and Exchange Commission pursuant to Regulation 14A within 120 days after the year ended December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40" w:type="dxa"/>
            <w:vAlign w:val="bottom"/>
            <w:gridSpan w:val="10"/>
          </w:tcPr>
          <w:p>
            <w:pPr>
              <w:ind w:left="52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6"/>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80" w:type="dxa"/>
            <w:vAlign w:val="bottom"/>
            <w:gridSpan w:val="8"/>
          </w:tcPr>
          <w:p>
            <w:pPr>
              <w:jc w:val="center"/>
              <w:ind w:right="4420"/>
              <w:spacing w:after="0"/>
              <w:rPr>
                <w:sz w:val="20"/>
                <w:szCs w:val="20"/>
                <w:color w:val="auto"/>
              </w:rPr>
            </w:pPr>
            <w:r>
              <w:rPr>
                <w:rFonts w:ascii="Arial" w:cs="Arial" w:eastAsia="Arial" w:hAnsi="Arial"/>
                <w:sz w:val="18"/>
                <w:szCs w:val="18"/>
                <w:b w:val="1"/>
                <w:bCs w:val="1"/>
                <w:color w:val="auto"/>
                <w:w w:val="94"/>
              </w:rPr>
              <w:t>PART 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0" w:type="dxa"/>
            <w:vAlign w:val="bottom"/>
            <w:gridSpan w:val="3"/>
          </w:tcPr>
          <w:p>
            <w:pPr>
              <w:spacing w:after="0" w:line="184"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84"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9360" w:type="dxa"/>
            <w:vAlign w:val="bottom"/>
            <w:gridSpan w:val="21"/>
          </w:tcPr>
          <w:p>
            <w:pPr>
              <w:spacing w:after="0"/>
              <w:rPr>
                <w:sz w:val="15"/>
                <w:szCs w:val="15"/>
                <w:color w:val="auto"/>
              </w:rPr>
            </w:pPr>
          </w:p>
        </w:tc>
        <w:tc>
          <w:tcPr>
            <w:tcW w:w="320" w:type="dxa"/>
            <w:vAlign w:val="bottom"/>
          </w:tcPr>
          <w:p>
            <w:pPr>
              <w:jc w:val="right"/>
              <w:spacing w:after="0" w:line="184"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910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Arial" w:cs="Arial" w:eastAsia="Arial" w:hAnsi="Arial"/>
                <w:sz w:val="18"/>
                <w:szCs w:val="18"/>
                <w:color w:val="auto"/>
              </w:rPr>
              <w:t>Item 1B:</w:t>
            </w:r>
          </w:p>
        </w:tc>
        <w:tc>
          <w:tcPr>
            <w:tcW w:w="10000" w:type="dxa"/>
            <w:vAlign w:val="bottom"/>
            <w:gridSpan w:val="2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Unresolved Staff Comments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51">
              <w:r>
                <w:rPr>
                  <w:rFonts w:ascii="Arial" w:cs="Arial" w:eastAsia="Arial" w:hAnsi="Arial"/>
                  <w:sz w:val="18"/>
                  <w:szCs w:val="18"/>
                  <w:color w:val="0000EE"/>
                  <w:w w:val="85"/>
                </w:rPr>
                <w:t>Properties</w:t>
              </w:r>
            </w:hyperlink>
          </w:p>
        </w:tc>
        <w:tc>
          <w:tcPr>
            <w:tcW w:w="1280" w:type="dxa"/>
            <w:vAlign w:val="bottom"/>
            <w:tcBorders>
              <w:top w:val="single" w:sz="8" w:color="0000EE"/>
            </w:tcBorders>
            <w:gridSpan w:val="7"/>
          </w:tcPr>
          <w:p>
            <w:pPr>
              <w:spacing w:after="0"/>
              <w:rPr>
                <w:sz w:val="17"/>
                <w:szCs w:val="17"/>
                <w:color w:val="auto"/>
              </w:rPr>
            </w:pPr>
          </w:p>
        </w:tc>
        <w:tc>
          <w:tcPr>
            <w:tcW w:w="800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Arial" w:cs="Arial" w:eastAsia="Arial" w:hAnsi="Arial"/>
                <w:sz w:val="18"/>
                <w:szCs w:val="18"/>
                <w:color w:val="auto"/>
              </w:rPr>
              <w:t>Item 3:</w:t>
            </w:r>
          </w:p>
        </w:tc>
        <w:tc>
          <w:tcPr>
            <w:tcW w:w="10000" w:type="dxa"/>
            <w:vAlign w:val="bottom"/>
            <w:gridSpan w:val="2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Arial" w:cs="Arial" w:eastAsia="Arial" w:hAnsi="Arial"/>
                <w:sz w:val="18"/>
                <w:szCs w:val="18"/>
                <w:color w:val="auto"/>
              </w:rPr>
              <w:t>Item 4:</w:t>
            </w:r>
          </w:p>
        </w:tc>
        <w:tc>
          <w:tcPr>
            <w:tcW w:w="10000" w:type="dxa"/>
            <w:vAlign w:val="bottom"/>
            <w:gridSpan w:val="2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Mine Safety Disclosure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36"/>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80" w:type="dxa"/>
            <w:vAlign w:val="bottom"/>
            <w:gridSpan w:val="8"/>
          </w:tcPr>
          <w:p>
            <w:pPr>
              <w:jc w:val="center"/>
              <w:ind w:right="4420"/>
              <w:spacing w:after="0"/>
              <w:rPr>
                <w:sz w:val="20"/>
                <w:szCs w:val="20"/>
                <w:color w:val="auto"/>
              </w:rPr>
            </w:pPr>
            <w:r>
              <w:rPr>
                <w:rFonts w:ascii="Arial" w:cs="Arial" w:eastAsia="Arial" w:hAnsi="Arial"/>
                <w:sz w:val="18"/>
                <w:szCs w:val="18"/>
                <w:b w:val="1"/>
                <w:bCs w:val="1"/>
                <w:color w:val="auto"/>
                <w:w w:val="99"/>
              </w:rPr>
              <w:t>PART II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0" w:type="dxa"/>
            <w:vAlign w:val="bottom"/>
            <w:gridSpan w:val="3"/>
          </w:tcPr>
          <w:p>
            <w:pPr>
              <w:spacing w:after="0" w:line="184" w:lineRule="exact"/>
              <w:rPr>
                <w:sz w:val="20"/>
                <w:szCs w:val="20"/>
                <w:color w:val="auto"/>
              </w:rPr>
            </w:pPr>
            <w:r>
              <w:rPr>
                <w:rFonts w:ascii="Arial" w:cs="Arial" w:eastAsia="Arial" w:hAnsi="Arial"/>
                <w:sz w:val="18"/>
                <w:szCs w:val="18"/>
                <w:color w:val="auto"/>
              </w:rPr>
              <w:t>Item 5:</w:t>
            </w:r>
          </w:p>
        </w:tc>
        <w:tc>
          <w:tcPr>
            <w:tcW w:w="10000" w:type="dxa"/>
            <w:vAlign w:val="bottom"/>
            <w:gridSpan w:val="22"/>
          </w:tcPr>
          <w:p>
            <w:pPr>
              <w:spacing w:after="0" w:line="184" w:lineRule="exact"/>
              <w:rPr>
                <w:rFonts w:ascii="Arial" w:cs="Arial" w:eastAsia="Arial" w:hAnsi="Arial"/>
                <w:sz w:val="18"/>
                <w:szCs w:val="18"/>
                <w:color w:val="0000EE"/>
              </w:rPr>
            </w:pPr>
            <w:hyperlink w:anchor="page52">
              <w:r>
                <w:rPr>
                  <w:rFonts w:ascii="Arial" w:cs="Arial" w:eastAsia="Arial" w:hAnsi="Arial"/>
                  <w:sz w:val="18"/>
                  <w:szCs w:val="18"/>
                  <w:color w:val="0000EE"/>
                </w:rPr>
                <w:t>Market for Registrant’s Common Equity, Related Stockholder Matters and Issuer Purchases of Equity Securities</w:t>
              </w:r>
            </w:hyperlink>
          </w:p>
        </w:tc>
        <w:tc>
          <w:tcPr>
            <w:tcW w:w="320" w:type="dxa"/>
            <w:vAlign w:val="bottom"/>
          </w:tcPr>
          <w:p>
            <w:pPr>
              <w:jc w:val="right"/>
              <w:spacing w:after="0" w:line="184"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5"/>
          </w:tcPr>
          <w:p>
            <w:pPr>
              <w:spacing w:after="0"/>
              <w:rPr>
                <w:sz w:val="17"/>
                <w:szCs w:val="17"/>
                <w:color w:val="auto"/>
              </w:rPr>
            </w:pPr>
          </w:p>
        </w:tc>
        <w:tc>
          <w:tcPr>
            <w:tcW w:w="212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Arial" w:cs="Arial" w:eastAsia="Arial" w:hAnsi="Arial"/>
                <w:sz w:val="18"/>
                <w:szCs w:val="18"/>
                <w:color w:val="auto"/>
              </w:rPr>
              <w:t>Item 7:</w:t>
            </w:r>
          </w:p>
        </w:tc>
        <w:tc>
          <w:tcPr>
            <w:tcW w:w="10000" w:type="dxa"/>
            <w:vAlign w:val="bottom"/>
            <w:gridSpan w:val="2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Arial" w:cs="Arial" w:eastAsia="Arial" w:hAnsi="Arial"/>
                <w:sz w:val="18"/>
                <w:szCs w:val="18"/>
                <w:color w:val="auto"/>
              </w:rPr>
              <w:t>Item 7A:</w:t>
            </w:r>
          </w:p>
        </w:tc>
        <w:tc>
          <w:tcPr>
            <w:tcW w:w="42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370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113">
              <w:r>
                <w:rPr>
                  <w:rFonts w:ascii="Arial" w:cs="Arial" w:eastAsia="Arial" w:hAnsi="Arial"/>
                  <w:sz w:val="18"/>
                  <w:szCs w:val="18"/>
                  <w:color w:val="0000EE"/>
                  <w:w w:val="87"/>
                </w:rPr>
                <w:t>Financial Statements and Supplementary Data</w:t>
              </w:r>
            </w:hyperlink>
          </w:p>
        </w:tc>
        <w:tc>
          <w:tcPr>
            <w:tcW w:w="674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Arial" w:cs="Arial" w:eastAsia="Arial" w:hAnsi="Arial"/>
                <w:sz w:val="18"/>
                <w:szCs w:val="18"/>
                <w:color w:val="auto"/>
              </w:rPr>
              <w:t>Item 9:</w:t>
            </w:r>
          </w:p>
        </w:tc>
        <w:tc>
          <w:tcPr>
            <w:tcW w:w="10000" w:type="dxa"/>
            <w:vAlign w:val="bottom"/>
            <w:gridSpan w:val="22"/>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Changes in and Disagreements with Accountants on Accounting and Financial Disclosure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169</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6"/>
              </w:rPr>
            </w:pPr>
            <w:hyperlink w:anchor="page169">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2"/>
          </w:tcPr>
          <w:p>
            <w:pPr>
              <w:spacing w:after="0"/>
              <w:rPr>
                <w:sz w:val="17"/>
                <w:szCs w:val="17"/>
                <w:color w:val="auto"/>
              </w:rPr>
            </w:pPr>
          </w:p>
        </w:tc>
        <w:tc>
          <w:tcPr>
            <w:tcW w:w="368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169</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Arial" w:cs="Arial" w:eastAsia="Arial" w:hAnsi="Arial"/>
                <w:sz w:val="18"/>
                <w:szCs w:val="18"/>
                <w:color w:val="auto"/>
              </w:rPr>
              <w:t>Item 9B:</w:t>
            </w:r>
          </w:p>
        </w:tc>
        <w:tc>
          <w:tcPr>
            <w:tcW w:w="10000" w:type="dxa"/>
            <w:vAlign w:val="bottom"/>
            <w:gridSpan w:val="22"/>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171</w:t>
            </w:r>
          </w:p>
        </w:tc>
        <w:tc>
          <w:tcPr>
            <w:tcW w:w="0" w:type="dxa"/>
            <w:vAlign w:val="bottom"/>
          </w:tcPr>
          <w:p>
            <w:pPr>
              <w:spacing w:after="0"/>
              <w:rPr>
                <w:sz w:val="1"/>
                <w:szCs w:val="1"/>
                <w:color w:val="auto"/>
              </w:rPr>
            </w:pPr>
          </w:p>
        </w:tc>
      </w:tr>
      <w:tr>
        <w:trPr>
          <w:trHeight w:val="336"/>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80" w:type="dxa"/>
            <w:vAlign w:val="bottom"/>
            <w:gridSpan w:val="8"/>
          </w:tcPr>
          <w:p>
            <w:pPr>
              <w:jc w:val="center"/>
              <w:ind w:right="4440"/>
              <w:spacing w:after="0"/>
              <w:rPr>
                <w:sz w:val="20"/>
                <w:szCs w:val="20"/>
                <w:color w:val="auto"/>
              </w:rPr>
            </w:pPr>
            <w:r>
              <w:rPr>
                <w:rFonts w:ascii="Arial" w:cs="Arial" w:eastAsia="Arial" w:hAnsi="Arial"/>
                <w:sz w:val="18"/>
                <w:szCs w:val="18"/>
                <w:b w:val="1"/>
                <w:bCs w:val="1"/>
                <w:color w:val="auto"/>
              </w:rPr>
              <w:t>PART III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0" w:type="dxa"/>
            <w:vAlign w:val="bottom"/>
            <w:gridSpan w:val="3"/>
          </w:tcPr>
          <w:p>
            <w:pPr>
              <w:spacing w:after="0" w:line="184" w:lineRule="exact"/>
              <w:rPr>
                <w:sz w:val="20"/>
                <w:szCs w:val="20"/>
                <w:color w:val="auto"/>
              </w:rPr>
            </w:pPr>
            <w:r>
              <w:rPr>
                <w:rFonts w:ascii="Arial" w:cs="Arial" w:eastAsia="Arial" w:hAnsi="Arial"/>
                <w:sz w:val="18"/>
                <w:szCs w:val="18"/>
                <w:color w:val="auto"/>
              </w:rPr>
              <w:t>Item 10:</w:t>
            </w:r>
          </w:p>
        </w:tc>
        <w:tc>
          <w:tcPr>
            <w:tcW w:w="10000" w:type="dxa"/>
            <w:vAlign w:val="bottom"/>
            <w:gridSpan w:val="22"/>
          </w:tcPr>
          <w:p>
            <w:pPr>
              <w:spacing w:after="0" w:line="184" w:lineRule="exact"/>
              <w:rPr>
                <w:rFonts w:ascii="Arial" w:cs="Arial" w:eastAsia="Arial" w:hAnsi="Arial"/>
                <w:sz w:val="18"/>
                <w:szCs w:val="18"/>
                <w:color w:val="0000EE"/>
              </w:rPr>
            </w:pPr>
            <w:hyperlink w:anchor="page172">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line="184" w:lineRule="exact"/>
              <w:rPr>
                <w:sz w:val="20"/>
                <w:szCs w:val="20"/>
                <w:color w:val="auto"/>
              </w:rPr>
            </w:pPr>
            <w:r>
              <w:rPr>
                <w:rFonts w:ascii="Arial" w:cs="Arial" w:eastAsia="Arial" w:hAnsi="Arial"/>
                <w:sz w:val="18"/>
                <w:szCs w:val="18"/>
                <w:color w:val="auto"/>
                <w:w w:val="99"/>
              </w:rPr>
              <w:t>172</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Executive Compensation</w:t>
              </w:r>
            </w:hyperlink>
          </w:p>
        </w:tc>
        <w:tc>
          <w:tcPr>
            <w:tcW w:w="600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Arial" w:cs="Arial" w:eastAsia="Arial" w:hAnsi="Arial"/>
                <w:sz w:val="18"/>
                <w:szCs w:val="18"/>
                <w:color w:val="auto"/>
              </w:rPr>
              <w:t>Item 12:</w:t>
            </w:r>
          </w:p>
        </w:tc>
        <w:tc>
          <w:tcPr>
            <w:tcW w:w="10000" w:type="dxa"/>
            <w:vAlign w:val="bottom"/>
            <w:gridSpan w:val="22"/>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Security Ownership of Certain Beneficial Owners and Management and Related Stockholder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Certain Relationships and Related Transactions, and Director Independence</w:t>
              </w:r>
            </w:hyperlink>
          </w:p>
        </w:tc>
        <w:tc>
          <w:tcPr>
            <w:tcW w:w="28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Principal Accountant Fees and Services</w:t>
              </w:r>
            </w:hyperlink>
          </w:p>
        </w:tc>
        <w:tc>
          <w:tcPr>
            <w:tcW w:w="468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336"/>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80" w:type="dxa"/>
            <w:vAlign w:val="bottom"/>
            <w:gridSpan w:val="8"/>
          </w:tcPr>
          <w:p>
            <w:pPr>
              <w:jc w:val="center"/>
              <w:ind w:right="4440"/>
              <w:spacing w:after="0"/>
              <w:rPr>
                <w:sz w:val="20"/>
                <w:szCs w:val="20"/>
                <w:color w:val="auto"/>
              </w:rPr>
            </w:pPr>
            <w:r>
              <w:rPr>
                <w:rFonts w:ascii="Arial" w:cs="Arial" w:eastAsia="Arial" w:hAnsi="Arial"/>
                <w:sz w:val="18"/>
                <w:szCs w:val="18"/>
                <w:b w:val="1"/>
                <w:bCs w:val="1"/>
                <w:color w:val="auto"/>
                <w:w w:val="98"/>
              </w:rPr>
              <w:t>PART IV</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0" w:type="dxa"/>
            <w:vAlign w:val="bottom"/>
            <w:gridSpan w:val="3"/>
          </w:tcPr>
          <w:p>
            <w:pPr>
              <w:spacing w:after="0" w:line="184" w:lineRule="exact"/>
              <w:rPr>
                <w:sz w:val="20"/>
                <w:szCs w:val="20"/>
                <w:color w:val="auto"/>
              </w:rPr>
            </w:pPr>
            <w:r>
              <w:rPr>
                <w:rFonts w:ascii="Arial" w:cs="Arial" w:eastAsia="Arial" w:hAnsi="Arial"/>
                <w:sz w:val="18"/>
                <w:szCs w:val="18"/>
                <w:color w:val="auto"/>
              </w:rPr>
              <w:t>Item 15:</w:t>
            </w:r>
          </w:p>
        </w:tc>
        <w:tc>
          <w:tcPr>
            <w:tcW w:w="10000" w:type="dxa"/>
            <w:vAlign w:val="bottom"/>
            <w:gridSpan w:val="22"/>
          </w:tcPr>
          <w:p>
            <w:pPr>
              <w:spacing w:after="0" w:line="184" w:lineRule="exact"/>
              <w:rPr>
                <w:rFonts w:ascii="Arial" w:cs="Arial" w:eastAsia="Arial" w:hAnsi="Arial"/>
                <w:sz w:val="18"/>
                <w:szCs w:val="18"/>
                <w:color w:val="0000EE"/>
              </w:rPr>
            </w:pPr>
            <w:hyperlink w:anchor="page176">
              <w:r>
                <w:rPr>
                  <w:rFonts w:ascii="Arial" w:cs="Arial" w:eastAsia="Arial" w:hAnsi="Arial"/>
                  <w:sz w:val="18"/>
                  <w:szCs w:val="18"/>
                  <w:color w:val="0000EE"/>
                </w:rPr>
                <w:t>Exhibits and Financial Statement Schedules</w:t>
              </w:r>
            </w:hyperlink>
          </w:p>
        </w:tc>
        <w:tc>
          <w:tcPr>
            <w:tcW w:w="320" w:type="dxa"/>
            <w:vAlign w:val="bottom"/>
          </w:tcPr>
          <w:p>
            <w:pPr>
              <w:jc w:val="right"/>
              <w:spacing w:after="0" w:line="184" w:lineRule="exact"/>
              <w:rPr>
                <w:sz w:val="20"/>
                <w:szCs w:val="20"/>
                <w:color w:val="auto"/>
              </w:rPr>
            </w:pPr>
            <w:r>
              <w:rPr>
                <w:rFonts w:ascii="Arial" w:cs="Arial" w:eastAsia="Arial" w:hAnsi="Arial"/>
                <w:sz w:val="18"/>
                <w:szCs w:val="18"/>
                <w:color w:val="auto"/>
                <w:w w:val="99"/>
              </w:rPr>
              <w:t>176</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177</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60" w:type="dxa"/>
            <w:vAlign w:val="bottom"/>
            <w:gridSpan w:val="1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Schedule I — Summary of Investments — Other Than Investments in Related Parties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178</w:t>
            </w:r>
          </w:p>
        </w:tc>
        <w:tc>
          <w:tcPr>
            <w:tcW w:w="0" w:type="dxa"/>
            <w:vAlign w:val="bottom"/>
          </w:tcPr>
          <w:p>
            <w:pPr>
              <w:spacing w:after="0"/>
              <w:rPr>
                <w:sz w:val="1"/>
                <w:szCs w:val="1"/>
                <w:color w:val="auto"/>
              </w:rPr>
            </w:pPr>
          </w:p>
        </w:tc>
      </w:tr>
      <w:tr>
        <w:trPr>
          <w:trHeight w:val="20"/>
        </w:trPr>
        <w:tc>
          <w:tcPr>
            <w:tcW w:w="960" w:type="dxa"/>
            <w:vAlign w:val="bottom"/>
            <w:gridSpan w:val="2"/>
            <w:shd w:val="clear" w:color="auto" w:fill="0000EE"/>
          </w:tcPr>
          <w:p>
            <w:pPr>
              <w:spacing w:after="0" w:line="20" w:lineRule="exact"/>
              <w:rPr>
                <w:sz w:val="1"/>
                <w:szCs w:val="1"/>
                <w:color w:val="auto"/>
              </w:rPr>
            </w:pPr>
          </w:p>
        </w:tc>
        <w:tc>
          <w:tcPr>
            <w:tcW w:w="5060" w:type="dxa"/>
            <w:vAlign w:val="bottom"/>
            <w:gridSpan w:val="1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Schedule II — Condensed Financial Information of Registrant (Parent Company Only)</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w w:val="95"/>
              </w:rPr>
            </w:pPr>
            <w:hyperlink w:anchor="page183">
              <w:r>
                <w:rPr>
                  <w:rFonts w:ascii="Arial" w:cs="Arial" w:eastAsia="Arial" w:hAnsi="Arial"/>
                  <w:sz w:val="18"/>
                  <w:szCs w:val="18"/>
                  <w:color w:val="0000EE"/>
                  <w:w w:val="95"/>
                </w:rPr>
                <w:t>Exhibit Index</w:t>
              </w:r>
            </w:hyperlink>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183</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020" w:type="dxa"/>
            <w:vAlign w:val="bottom"/>
            <w:gridSpan w:val="15"/>
          </w:tcPr>
          <w:p>
            <w:pPr>
              <w:ind w:left="46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i w:val="1"/>
          <w:iCs w:val="1"/>
          <w:color w:val="auto"/>
        </w:rPr>
        <w:t>Unless the context otherwise requires, references in this annual report on Form 10-K to “we,” “our,” “us” and “the Company” are to Symetra Financial Corporation together with its subsidiaries. References to “Symetra” refer to Symetra Financial Corporation on a stand-alone, non-consolidated basis.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Annual Report on Form 10-K, including Management’s Discussion and Analysis of Financial Condition and Results of Operations, contains statements which constitute forward-looking statements within the meaning of Section 27A of the Securities Act of 1933 and Section 21E of the Securities Exchange Act of 1934. All statements, other than statements of current or historical facts, included or referenced in this report that address activities, events or developments that we expect or anticipate will or may occur in the future are forward-looking statements. The words “will,” “believe,” “intend,” “plan,” “expect,” “anticipate,” “project,” “estimate,” “predict,” “potential” and similar expressions also are intended to identify forward-looking statements. These forward-looking statements include, among others, statements with respect to the Company’s:</w:t>
      </w:r>
    </w:p>
    <w:p>
      <w:pPr>
        <w:spacing w:after="0" w:line="39" w:lineRule="exact"/>
        <w:rPr>
          <w:sz w:val="20"/>
          <w:szCs w:val="20"/>
          <w:color w:val="auto"/>
        </w:rPr>
      </w:pPr>
    </w:p>
    <w:p>
      <w:pPr>
        <w:ind w:left="900" w:right="4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or projections of revenues, net income (loss), net income (loss) per share, adjusted operating income (loss), adjusted operating income (loss) per share, market share or other financial forecasts;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trends in operations, financial performance and financial condition;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and operating targets or plans;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and growth strategy, including prospective products, services and distribution partners;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repurchase program.</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These statements are based on certain assumptions and analyses made by the Company in light of its experience and perception of historical trends, current conditions and expected future developments, as well as other factors believed to be appropriate under the circumstances. Whether actual results and developments will conform to the Company’s expectations and predictions is subject to a number of risks, uncertainties and contingencies that could cause actual results to differ materially from expectations, including, among others:</w:t>
      </w:r>
    </w:p>
    <w:p>
      <w:pPr>
        <w:spacing w:after="0" w:line="62"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fluctuations in interest rates or a prolonged low interest rate environment;</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including further economic downturns or other adverse conditions in the global and domestic capital and credit markets;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changes in monetary and fiscal policy;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effects of changes in government programs to stimulate mortgage refinancing and significant increases in corporate refinance activity;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our investment portfolio;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continued availability of quality commercial mortgage loan investments and our continued capacity to invest in commercial mortgage loans;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execute on our strategies;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recorded reserves for future policy benefits and claims subsequently proving to be inadequate or inaccurate;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deviations from assumptions used in setting prices for insurance and annuity products, or establishing cash flow testing reserves;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viability of certain products under various economic, regulatory and other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pricing and competitive trends related to insurance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amortization of deferred policy acquisition costs and deferred sales inducements;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strength or credit ratings changes;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cost of capital and financing;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continued availability and cost of reinsurance coverage;</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or regulations, or their interpretation, including those that could increase the Company’s business costs, reserve levels and required capital levels;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subsidiaries to pay dividends to Symetra;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implementation of the Patient Protection and Affordable Care Act (“PPACA”);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implement effective risk management policies and procedures, including hedging strategies;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of legal or regulatory investigations against us and the results of any legal or regulatory proceedings;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effects of implementation of the Dodd-Frank Wall Street Reform and Consumer Protection Act of 2010 (the “Dodd Frank Act”);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risks that are described in Item 1A — “Risk Factors” in this report.</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Consequently, all of the forward-looking statements made in this report are qualified by these cautionary statements, and there can be no assurance that the actual results or developments anticipated by us will be realized or, even if substantially realized, that they will have the expected consequences to, or effects on, the Company or its business or operations. We assume no obligation to update publicly any such forward-looking statements, whether as a result of new information, future events or otherwise.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90"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We are a financial services company in the life insurance industry, headquartered in Bellevue, Washington, with operations that date back to 1957. We manage our business through three divisions composed of four business segments. Our products are distributed domestically in all states and the District of Columbia, through benefits consultants, financial institutions, and independent agents and advisers.</w:t>
      </w:r>
    </w:p>
    <w:p>
      <w:pPr>
        <w:spacing w:after="0" w:line="107"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We are focused on profitable growth in the retirement, employee benefits and life insurance markets. We believe that our diverse mix of businesses offers us financial stability. We intend to continue to be disciplined about maintaining a strong balance sheet, which we believe will allow us to continue growing our business in most economic environments. We also endeavor to effectively manage capital to maximize long-term shareholder value. We believe our strategies enable us to remain flexible and allocate capital to opportunities that offer the highest returns while maintaining our strong financial strength ratings.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we will produce long-term shareholder value through the pursuit of our strategies for each of our divisions, described as follows: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Benefits Division:</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Benefits division, which includes the Benefits segment, provides medical stop-loss insurance, limited benefit medical insurance and group life and disability income (DI) insurance as its principal products. The following are the division’s primary strategies:</w:t>
      </w:r>
    </w:p>
    <w:p>
      <w:pPr>
        <w:spacing w:after="0" w:line="51" w:lineRule="exact"/>
        <w:rPr>
          <w:sz w:val="20"/>
          <w:szCs w:val="20"/>
          <w:color w:val="auto"/>
        </w:rPr>
      </w:pPr>
    </w:p>
    <w:p>
      <w:pPr>
        <w:ind w:left="900" w:right="40" w:hanging="325"/>
        <w:spacing w:after="0" w:line="25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Continue profitable growth of our medical stop-loss insurance business. </w:t>
      </w:r>
      <w:r>
        <w:rPr>
          <w:rFonts w:ascii="Arial" w:cs="Arial" w:eastAsia="Arial" w:hAnsi="Arial"/>
          <w:sz w:val="18"/>
          <w:szCs w:val="18"/>
          <w:color w:val="auto"/>
        </w:rPr>
        <w:t>We believe we are a market leader in medical stop-loss insurance as</w:t>
      </w:r>
      <w:r>
        <w:rPr>
          <w:rFonts w:ascii="Arial" w:cs="Arial" w:eastAsia="Arial" w:hAnsi="Arial"/>
          <w:sz w:val="18"/>
          <w:szCs w:val="18"/>
          <w:i w:val="1"/>
          <w:iCs w:val="1"/>
          <w:color w:val="auto"/>
        </w:rPr>
        <w:t xml:space="preserve"> </w:t>
      </w:r>
      <w:r>
        <w:rPr>
          <w:rFonts w:ascii="Arial" w:cs="Arial" w:eastAsia="Arial" w:hAnsi="Arial"/>
          <w:sz w:val="18"/>
          <w:szCs w:val="18"/>
          <w:color w:val="auto"/>
        </w:rPr>
        <w:t>evidenced by the relatively large size of our block of business and our track record of profitability. We strive to underwrite and renew only business that meets our long-term profit targets. In 2012, our medical stop-loss premiums increased 13.2% compared to 2011 through organic growth in sales, as well as the acquisition of a block of business in July 2011. As we grow, we maintain focus on profitability by striving to underwrite and renew medical stop-loss business that meets our long-term target loss ratio of 63% — 65%. We will continue to execute our strategies to grow this profitable block of business.</w:t>
      </w:r>
    </w:p>
    <w:p>
      <w:pPr>
        <w:spacing w:after="0" w:line="63" w:lineRule="exact"/>
        <w:rPr>
          <w:rFonts w:ascii="Arial" w:cs="Arial" w:eastAsia="Arial" w:hAnsi="Arial"/>
          <w:sz w:val="18"/>
          <w:szCs w:val="18"/>
          <w:color w:val="auto"/>
        </w:rPr>
      </w:pPr>
    </w:p>
    <w:p>
      <w:pPr>
        <w:ind w:left="900" w:right="160" w:hanging="325"/>
        <w:spacing w:after="0" w:line="30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Expand our group life and disability income sales and service capabilities. </w:t>
      </w:r>
      <w:r>
        <w:rPr>
          <w:rFonts w:ascii="Arial" w:cs="Arial" w:eastAsia="Arial" w:hAnsi="Arial"/>
          <w:sz w:val="16"/>
          <w:szCs w:val="16"/>
          <w:color w:val="auto"/>
        </w:rPr>
        <w:t>In 2012, we made significant progress on the build-out of our group life</w:t>
      </w:r>
      <w:r>
        <w:rPr>
          <w:rFonts w:ascii="Arial" w:cs="Arial" w:eastAsia="Arial" w:hAnsi="Arial"/>
          <w:sz w:val="16"/>
          <w:szCs w:val="16"/>
          <w:i w:val="1"/>
          <w:iCs w:val="1"/>
          <w:color w:val="auto"/>
        </w:rPr>
        <w:t xml:space="preserve"> </w:t>
      </w:r>
      <w:r>
        <w:rPr>
          <w:rFonts w:ascii="Arial" w:cs="Arial" w:eastAsia="Arial" w:hAnsi="Arial"/>
          <w:sz w:val="16"/>
          <w:szCs w:val="16"/>
          <w:color w:val="auto"/>
        </w:rPr>
        <w:t>and DI infrastructure, including the assembly of our sales team. In 2013, we will focus on profitably growing this block of business and providing high-quality customer service to our policyholders, while we continue to invest in our system capabilities.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Retirement Division: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Retirement division, which includes the Deferred Annuities and Income Annuities segments, provides single-premium fixed deferred annuities (fixed annuities), variable deferred annuities and single premium immediate annuities (SPIAs) as its principal products. The following are the division’s primary strategies:</w:t>
      </w:r>
    </w:p>
    <w:p>
      <w:pPr>
        <w:spacing w:after="0" w:line="59" w:lineRule="exact"/>
        <w:rPr>
          <w:sz w:val="20"/>
          <w:szCs w:val="20"/>
          <w:color w:val="auto"/>
        </w:rPr>
      </w:pPr>
    </w:p>
    <w:p>
      <w:pPr>
        <w:ind w:left="900" w:hanging="325"/>
        <w:spacing w:after="0" w:line="29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Continue to drive profitable growth by selling annuities through financial institutions and broker-dealers. </w:t>
      </w:r>
      <w:r>
        <w:rPr>
          <w:rFonts w:ascii="Arial" w:cs="Arial" w:eastAsia="Arial" w:hAnsi="Arial"/>
          <w:sz w:val="16"/>
          <w:szCs w:val="16"/>
          <w:color w:val="auto"/>
        </w:rPr>
        <w:t>We remain committed to our two-pronged</w:t>
      </w:r>
      <w:r>
        <w:rPr>
          <w:rFonts w:ascii="Arial" w:cs="Arial" w:eastAsia="Arial" w:hAnsi="Arial"/>
          <w:sz w:val="16"/>
          <w:szCs w:val="16"/>
          <w:i w:val="1"/>
          <w:iCs w:val="1"/>
          <w:color w:val="auto"/>
        </w:rPr>
        <w:t xml:space="preserve"> </w:t>
      </w:r>
      <w:r>
        <w:rPr>
          <w:rFonts w:ascii="Arial" w:cs="Arial" w:eastAsia="Arial" w:hAnsi="Arial"/>
          <w:sz w:val="16"/>
          <w:szCs w:val="16"/>
          <w:color w:val="auto"/>
        </w:rPr>
        <w:t>approach to expand product sales: deepening our existing distribution relationships and adding new distribution partners. We believe we are adept at developing annuity products that align with the needs of the customers of our key distribution partners. By treating our distribution partners as clients and providing them with first-rate levels of service, we seek to cultivate strong relationships and expand our national distribution network.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94"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Accelerate growth in sales of less interest-rate sensitive products. </w:t>
      </w:r>
      <w:r>
        <w:rPr>
          <w:rFonts w:ascii="Arial" w:cs="Arial" w:eastAsia="Arial" w:hAnsi="Arial"/>
          <w:sz w:val="16"/>
          <w:szCs w:val="16"/>
          <w:color w:val="auto"/>
        </w:rPr>
        <w:t>We will continue to invest in initiatives to reduce our reliance on interest-rate</w:t>
      </w:r>
      <w:r>
        <w:rPr>
          <w:rFonts w:ascii="Arial" w:cs="Arial" w:eastAsia="Arial" w:hAnsi="Arial"/>
          <w:sz w:val="16"/>
          <w:szCs w:val="16"/>
          <w:i w:val="1"/>
          <w:iCs w:val="1"/>
          <w:color w:val="auto"/>
        </w:rPr>
        <w:t xml:space="preserve"> </w:t>
      </w:r>
      <w:r>
        <w:rPr>
          <w:rFonts w:ascii="Arial" w:cs="Arial" w:eastAsia="Arial" w:hAnsi="Arial"/>
          <w:sz w:val="16"/>
          <w:szCs w:val="16"/>
          <w:color w:val="auto"/>
        </w:rPr>
        <w:t>sensitive products. We have experienced success with our fixed indexed annuity (FIA) product, which produced $292.6 million in sales for 2012. We aim to build on that sales momentum, increasing our distribution partners for this product and expanding our FIA product offerings. We also plan to leverage our Symetra True Variable Annuity</w:t>
      </w:r>
      <w:r>
        <w:rPr>
          <w:rFonts w:ascii="Arial" w:cs="Arial" w:eastAsia="Arial" w:hAnsi="Arial"/>
          <w:sz w:val="10"/>
          <w:szCs w:val="10"/>
          <w:color w:val="auto"/>
        </w:rPr>
        <w:t>TM</w:t>
      </w:r>
      <w:r>
        <w:rPr>
          <w:rFonts w:ascii="Arial" w:cs="Arial" w:eastAsia="Arial" w:hAnsi="Arial"/>
          <w:sz w:val="16"/>
          <w:szCs w:val="16"/>
          <w:color w:val="auto"/>
        </w:rPr>
        <w:t xml:space="preserve"> (True VA) platform to develop a commission-based variable annuity without guaranteed living benefits, to be distributed through our existing relationships with financial institutions and broker-dealer partners.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Individual Life Division:</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Individual Life Division, which includes the Individual Life segment, provides universal life (UL) insurance, including bank-owned life insurance (BOLI), and term life insurance as its principal products. In 2012, we also began offering a Corporate-owned Life Insurance (COLI) product. The following is the division’s primary strategy:</w:t>
      </w:r>
    </w:p>
    <w:p>
      <w:pPr>
        <w:spacing w:after="0" w:line="59" w:lineRule="exact"/>
        <w:rPr>
          <w:sz w:val="20"/>
          <w:szCs w:val="20"/>
          <w:color w:val="auto"/>
        </w:rPr>
      </w:pPr>
    </w:p>
    <w:p>
      <w:pPr>
        <w:ind w:left="900" w:hanging="325"/>
        <w:spacing w:after="0" w:line="255"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Strengthen existing distribution relationships and build new distribution networks. </w:t>
      </w:r>
      <w:r>
        <w:rPr>
          <w:rFonts w:ascii="Arial" w:cs="Arial" w:eastAsia="Arial" w:hAnsi="Arial"/>
          <w:sz w:val="18"/>
          <w:szCs w:val="18"/>
          <w:color w:val="auto"/>
        </w:rPr>
        <w:t>We intend to focus on expanding our distribution relationships. In</w:t>
      </w:r>
      <w:r>
        <w:rPr>
          <w:rFonts w:ascii="Arial" w:cs="Arial" w:eastAsia="Arial" w:hAnsi="Arial"/>
          <w:sz w:val="18"/>
          <w:szCs w:val="18"/>
          <w:i w:val="1"/>
          <w:iCs w:val="1"/>
          <w:color w:val="auto"/>
        </w:rPr>
        <w:t xml:space="preserve"> </w:t>
      </w:r>
      <w:r>
        <w:rPr>
          <w:rFonts w:ascii="Arial" w:cs="Arial" w:eastAsia="Arial" w:hAnsi="Arial"/>
          <w:sz w:val="18"/>
          <w:szCs w:val="18"/>
          <w:color w:val="auto"/>
        </w:rPr>
        <w:t>2012, we formed relationships with three national brokerage general agencies (BGAs), and we will continue to pursue new sales platform opportunities. While we have yet to gain meaningful sales traction, we believe the pricing changes introduced to our universal life product in late 2012 will be attractive in the marketplace. We also plan to expand our distribution of term life insurance through financial institutions, leveraging our existing relationships in this area to target middle-market customers.</w:t>
      </w:r>
    </w:p>
    <w:p>
      <w:pPr>
        <w:spacing w:after="0" w:line="14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We also have a fifth segment, referred to as the Other segment, which includes the assets and activities for operations that are not directly related to the operating segments. This includes small, non-insurance businesses that are managed outside of our divisions, such as our broker-dealer entity.</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See Note 19 to the consolidated financial statements for financial results of our segments, including our operating revenues, for each of the last three fiscal years. Historical information has been restated to reflect the retrospective adoption of a new accounting standard for deferred acquisition costs on January 1,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Division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Benefits division offers employment-based benefit products and services targeted primarily at employers, unions and public agencies. These products include medical stop-loss insurance; group life, disability income, and accidental death and dismemberment insurance (collectively, “group life and DI”); and limited benefit medical insurance.</w:t>
      </w:r>
    </w:p>
    <w:p>
      <w:pPr>
        <w:spacing w:after="0" w:line="140" w:lineRule="exact"/>
        <w:rPr>
          <w:sz w:val="20"/>
          <w:szCs w:val="20"/>
          <w:color w:val="auto"/>
        </w:rPr>
      </w:pPr>
    </w:p>
    <w:p>
      <w:pPr>
        <w:jc w:val="both"/>
        <w:ind w:right="440" w:firstLine="456"/>
        <w:spacing w:after="0" w:line="323" w:lineRule="auto"/>
        <w:rPr>
          <w:sz w:val="20"/>
          <w:szCs w:val="20"/>
          <w:color w:val="auto"/>
        </w:rPr>
      </w:pPr>
      <w:r>
        <w:rPr>
          <w:rFonts w:ascii="Arial" w:cs="Arial" w:eastAsia="Arial" w:hAnsi="Arial"/>
          <w:sz w:val="15"/>
          <w:szCs w:val="15"/>
          <w:color w:val="auto"/>
        </w:rPr>
        <w:t>Our customers primarily are small and mid-size employers that utilize knowledgeable employee benefits brokers, consultants and insurance company representatives that understand their financial needs and employee profiles. We work closely with employee benefits brokers, consultants, and employers to design customized benefit plans that meet the employer’s particular requirements. We believe our experience and expertise in the employee benefit markets provides us with opportunities to support close distributor relationships and to provide employers innovative and customer-centric benefit plans.</w:t>
      </w:r>
    </w:p>
    <w:p>
      <w:pPr>
        <w:spacing w:after="0" w:line="98" w:lineRule="exact"/>
        <w:rPr>
          <w:sz w:val="20"/>
          <w:szCs w:val="20"/>
          <w:color w:val="auto"/>
        </w:rPr>
      </w:pPr>
    </w:p>
    <w:p>
      <w:pPr>
        <w:jc w:val="both"/>
        <w:ind w:right="380" w:firstLine="456"/>
        <w:spacing w:after="0" w:line="298" w:lineRule="auto"/>
        <w:rPr>
          <w:sz w:val="20"/>
          <w:szCs w:val="20"/>
          <w:color w:val="auto"/>
        </w:rPr>
      </w:pPr>
      <w:r>
        <w:rPr>
          <w:rFonts w:ascii="Arial" w:cs="Arial" w:eastAsia="Arial" w:hAnsi="Arial"/>
          <w:sz w:val="16"/>
          <w:szCs w:val="16"/>
          <w:color w:val="auto"/>
        </w:rPr>
        <w:t>We aim to maintain pricing discipline and focus on profitability. The loss ratio, which is one measure of our profitability, indicates the portion of each dollar of premium that is used for policyholder claims. We strive to underwrite and renew only medical stop-loss business that meets our long-term loss ratio target of 63% — 65%. In 2012 and 2011, our results were in line with this target. For our medical stop-loss and group life and DI products, we also manage profitability and risk by purchasing reinsurance coverage to limit our exposure to losses.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Stop-Loss</w:t>
      </w:r>
    </w:p>
    <w:p>
      <w:pPr>
        <w:spacing w:after="0" w:line="90" w:lineRule="exact"/>
        <w:rPr>
          <w:sz w:val="20"/>
          <w:szCs w:val="20"/>
          <w:color w:val="auto"/>
        </w:rPr>
      </w:pPr>
    </w:p>
    <w:p>
      <w:pPr>
        <w:jc w:val="both"/>
        <w:ind w:right="180" w:firstLine="456"/>
        <w:spacing w:after="0" w:line="335" w:lineRule="auto"/>
        <w:rPr>
          <w:sz w:val="20"/>
          <w:szCs w:val="20"/>
          <w:color w:val="auto"/>
        </w:rPr>
      </w:pPr>
      <w:r>
        <w:rPr>
          <w:rFonts w:ascii="Arial" w:cs="Arial" w:eastAsia="Arial" w:hAnsi="Arial"/>
          <w:sz w:val="15"/>
          <w:szCs w:val="15"/>
          <w:color w:val="auto"/>
        </w:rPr>
        <w:t>We provide medical stop-loss insurance to employers that self-fund their health plans to their employees and that pay all claims and administrative costs. Our product helps employers manage health expenses by reimbursing individual claim amounts above a certain dollar deductible and by reimbursing aggregate claims above specific total dollar thresholds. In addition, we also offer underwriting services and consulting through our managing general underwriter (MGU).</w:t>
      </w:r>
    </w:p>
    <w:p>
      <w:pPr>
        <w:spacing w:after="0" w:line="8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Medical stop-loss pricing reflects the employer group’s claims experience and risk characteristics. The employer group’s claims experience is reviewed at the time the policy is issued and each renewal year thereafter, resulting in ongoing adjustments to pricing. The key pricing and underwriting criteria are medical cost trends, the employer’s selected provider network discount structure, the employer group’s demographic composition (including the age, gender and family composition of the employer group’s members), the employer’s industry, geographic location, regional economic trends, plan design and prior claims experience. In general, we retain medical stop-loss risk up to $1.1 million per individual, and $1.0 million for aggregate claims, and reinsure the remainder.</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Medical stop-loss is the leading product in our Benefits Division, representing approximately 89% of premiums in 2012. Our medical stop-loss product and services are targeted primarily at entities with 200 to 5,000 employees. We face significant competition in this market, including from large and highly rated insurance carriers, many of which offer similar products and use similar distribution channels. Pricing in the medical stop-loss insurance market has proven to be cyclical over time and there is significant competition for market share among the carriers. Our disciplined underwriting approach may limit our market share growth in the short-run; however, we believe our discipline facilitates long-term profitable growth. We also believe that over time this market is positioned for growth, as additional employers explore self-funding options for complying with the Patient Protection and Affordable Care Act (PPACA).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Group Life and Disability Income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group term life insurance product provides benefits in the event of an insured employee’s (or dependent’s) death. The death benefit can be based upon an individual’s earnings or occupation, or can be a set dollar amount. We offer basic, as well as supplemental, benefits for group term life. Our products also include optional accidental death and dismemberment coverage as a supplement to our term life insurance policies. This coverage provides benefits for an insured employee as a result of accidental death or injury.</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group short- and long-term disability income insurance protects an employee against loss of income due to illness or injury. Our group short-term disability (STD) income coverage generally provides benefits for up to 26 weeks following a short waiting period. Our group long-term disability (LTD) income coverage provides benefits following a longer waiting period and provides benefits during prolonged periods of disability. Benefits can be a set dollar amount or based upon a percentage of earnings. We utilize an advocacy-based approach to claims management, which focuses on providing personalized administrative and clinical support. We believe this approach helps employers effectively manage claims and encourages positive outcomes.</w:t>
      </w:r>
    </w:p>
    <w:p>
      <w:pPr>
        <w:spacing w:after="0" w:line="11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Over the last year, we made significant progress on the build-out of our infrastructure to expand our group life and DI insurance business, including new administration and leave management systems. These systems provide integrated claim administration abilities across our products and allow more flexibility in plan design and customization opportunities. We plan to continue to invest in our system capabilities going forward. By providing claims management services along with our suite of group life and DI products, we believe we provide a competitive value proposition for our clients.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Pricing for group life and DI products varies based on the size of the account. Rates for smaller groups are determined based on our internal schedules, which reflect the benefit plan, demographics, industry, and location of the employer. Rates for larger groups also incorporate the group’s claims experience. Due to the volatile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nature of claims for these products, historical experience is examined over time, typically three to five years for LTD and one to three years for STD. Initial rates are guaranteed for a fixed period of time, typically two to three years, and renewed annually thereafter.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Part of our pricing strategy includes the transfer of certain levels of risk through reinsurance arrangements. In 2012, we reinsured 40% of our group life risk and capped our liability at $0.5 million per individual, per line of coverage. In 2013, we expect to restructure our retention of group life to remove our liability cap of $0.5 million and reinsure all amounts in excess of $0.25 million, per individual, per line of coverage. Our short-term and long-term disability risk is currently 40% and 90% reinsured, respectively. However, in 2013, we expect to increase our retention of short-term disability risk, and reduce our reinsurance to 20%.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Benefit Medical</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limited benefit medical insurance is sold to employers for health coverage to employees not otherwise eligible to participate in traditional plans, such as part-time, seasonal and temporary workers, or as supplemental coverage to traditional health insurance. Employers have a great deal of flexibility in electing the benefits made available to employees, which helps employers manage their healthcare costs. Although not considered eligible coverage for purposes of certain PPACA provisions effective in 2014, we believe there continues to be a market for this product as a supplement to high-deductible health plans. We continue to monitor PPACA and regulatory developments affecting limited benefit medical plans.</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Limited benefit medical pricing reflects expected utilization of benefits, based on employer contribution and employee participation levels. Pricing and underwriting factors include the employer group’s demographic composition (including the age, gender and family composition of the employer group’s members), the employer’s industry, geographic location, regional economic trends, and, at renewal, prior claims experience. Employer group’s claims experience is reviewed periodically for alignment with our pricing targets.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sell Benefits’ products through several types of distributors, including third party administrators (TPAs), employee benefits brokers, consultants and administrative services only (ASO) insurance carriers. ASOs are fully-insured carriers that offer administrative services to employer self-funded health plans and also offer our medical stop-loss insurance to those employers. We plan to leverage our strong position in the medical stop-loss market to expand our group life and disability income insurance products in 2013.</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segment our sales force by product type, which allows our representatives to develop expertise related to their business. We believe our relationships with premier benefits brokers across the country provide a strong platform for distributing our products. We believe our strong reputation and existing distribution relationships will provide a growth platform for our products.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sales in our Benefits segment, which represent annualized first-year premiums, net of first year policy lapses: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For the Years Ended 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2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2011</w:t>
            </w:r>
          </w:p>
        </w:tc>
        <w:tc>
          <w:tcPr>
            <w:tcW w:w="8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4"/>
          </w:tcPr>
          <w:p>
            <w:pPr>
              <w:jc w:val="center"/>
              <w:ind w:right="40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Medical stop-loss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$ 131.4</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98.6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Group life and DI</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Limited benefit medical</w:t>
            </w:r>
          </w:p>
        </w:tc>
        <w:tc>
          <w:tcPr>
            <w:tcW w:w="2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15.8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rPr>
              <w:t>Total Benefits sales</w:t>
            </w:r>
          </w:p>
        </w:tc>
        <w:tc>
          <w:tcPr>
            <w:tcW w:w="2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40" w:type="dxa"/>
            <w:vAlign w:val="bottom"/>
            <w:vMerge w:val="continue"/>
          </w:tcPr>
          <w:p>
            <w:pPr>
              <w:spacing w:after="0"/>
              <w:rPr>
                <w:sz w:val="19"/>
                <w:szCs w:val="19"/>
                <w:color w:val="auto"/>
              </w:rPr>
            </w:pP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$ 159.3</w:t>
            </w:r>
          </w:p>
        </w:tc>
        <w:tc>
          <w:tcPr>
            <w:tcW w:w="4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0"/>
              <w:spacing w:after="0"/>
              <w:rPr>
                <w:sz w:val="20"/>
                <w:szCs w:val="20"/>
                <w:color w:val="auto"/>
              </w:rPr>
            </w:pPr>
            <w:r>
              <w:rPr>
                <w:rFonts w:ascii="Arial" w:cs="Arial" w:eastAsia="Arial" w:hAnsi="Arial"/>
                <w:sz w:val="18"/>
                <w:szCs w:val="18"/>
                <w:color w:val="auto"/>
                <w:w w:val="84"/>
              </w:rPr>
              <w:t>118.7</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95.5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sales from top 5 partners</w:t>
            </w:r>
          </w:p>
        </w:tc>
        <w:tc>
          <w:tcPr>
            <w:tcW w:w="340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27.9%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363"/>
        </w:trPr>
        <w:tc>
          <w:tcPr>
            <w:tcW w:w="3740" w:type="dxa"/>
            <w:vAlign w:val="bottom"/>
          </w:tcPr>
          <w:p>
            <w:pPr>
              <w:spacing w:after="0"/>
              <w:rPr>
                <w:sz w:val="24"/>
                <w:szCs w:val="24"/>
                <w:color w:val="auto"/>
              </w:rPr>
            </w:pPr>
          </w:p>
        </w:tc>
        <w:tc>
          <w:tcPr>
            <w:tcW w:w="2440" w:type="dxa"/>
            <w:vAlign w:val="bottom"/>
          </w:tcPr>
          <w:p>
            <w:pPr>
              <w:jc w:val="right"/>
              <w:ind w:right="1252"/>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Division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Annuities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Deferred Annuities segment offers fixed and variable deferred annuities to consumers who want to accumulate tax-deferred assets for retirement. The “fixed” or “variable” classification describes whether we or the contract holder, respectively, bear the investment risk of the assets supporting the contract. This also determines the manner in which we generate earnings, either as investment spreads for fixed annuities or asset-based fees for variable annuities. We offer “qualified” (i.e., annuities sold in connection with tax-favored retirement arrangements) and non-qualified annuities to individuals mainly through financial institutions.</w:t>
      </w:r>
    </w:p>
    <w:p>
      <w:pPr>
        <w:spacing w:after="0" w:line="14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continue to believe the demand for fixed annuity and other investment products that help consumers supplement their social security and other retirement benefits with reliable retirement income will endure, even in a low interest rate environment, as consumers focus on savings. We believe our fixed indexed annuity, which has been well-received in the marketplace, offers opportunities for clients seeking competitive returns along with protection of principal. We also believe that, as employers continue to replace traditional pensions with defined contribution plans, we will benefit from the consumer’s decision to rollover their funds to IRAs or Roth IRAs at retirement. It is our goal to attract and retain these customers by offering products that address their evolving needs and by providing excellent service to our distribution partners and contract holders.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Annuities</w:t>
      </w:r>
    </w:p>
    <w:p>
      <w:pPr>
        <w:spacing w:after="0" w:line="90"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We offer fixed single premium deferred annuities that provide for a premium payment at time of issue, an accumulation period and an annuity payout period beginning at some future date. Our fixed annuities include both traditional fixed-rate and fixed indexed annuities. As of December 31, 2012, we had $11.1 billion of account value associated with fixed annuities, including $374.9 million of fixed indexed annuities.</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fixed annuity contracts are supported by our general account, and interest is generally credited on a tax-deferred basis to the contract owner. Our earnings from fixed annuities are based upon the spread between the returns we earn in our general account on our investment of premiums and the crediting rate on our fixed annuity contracts, less acquisition and administrative expenses.</w:t>
      </w:r>
    </w:p>
    <w:p>
      <w:pPr>
        <w:spacing w:after="0" w:line="14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Our most popular traditional fixed-rate product is our Custom annuity, which offers a seven-year surrender charge period and a choice of three-, five-, or seven-year initial guaranteed interest rate periods. After the initial guaranteed interest rate period, the crediting rate for any given deposit is subject to change annually at our discretion (subject to the minimum guaranteed rate) based upon competitive factors, portfolio earnings rate, prevailing market rates, product profitability and our judgment as to the impact any such change would have on our relationships with our customers and distribution partners. We have adjusted, and will continue to adjust, crediting rates in an attempt to maintain our interest spreads on new business, as well as in-force business. The following table presents our account values by lifetime minimum guaranteed crediting rate and differences from the current crediting rate, in basis points (bps), as of December 31, 2012.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820"/>
              <w:spacing w:after="0"/>
              <w:rPr>
                <w:sz w:val="20"/>
                <w:szCs w:val="20"/>
                <w:color w:val="auto"/>
              </w:rPr>
            </w:pPr>
            <w:r>
              <w:rPr>
                <w:rFonts w:ascii="Arial" w:cs="Arial" w:eastAsia="Arial" w:hAnsi="Arial"/>
                <w:sz w:val="14"/>
                <w:szCs w:val="14"/>
                <w:b w:val="1"/>
                <w:bCs w:val="1"/>
                <w:color w:val="auto"/>
                <w:w w:val="86"/>
              </w:rPr>
              <w:t>Account Value</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3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At Contractual</w:t>
            </w:r>
          </w:p>
        </w:tc>
        <w:tc>
          <w:tcPr>
            <w:tcW w:w="300" w:type="dxa"/>
            <w:vAlign w:val="bottom"/>
          </w:tcPr>
          <w:p>
            <w:pPr>
              <w:spacing w:after="0"/>
              <w:rPr>
                <w:sz w:val="11"/>
                <w:szCs w:val="11"/>
                <w:color w:val="auto"/>
              </w:rPr>
            </w:pPr>
          </w:p>
        </w:tc>
        <w:tc>
          <w:tcPr>
            <w:tcW w:w="1660" w:type="dxa"/>
            <w:vAlign w:val="bottom"/>
            <w:gridSpan w:val="3"/>
          </w:tcPr>
          <w:p>
            <w:pPr>
              <w:jc w:val="center"/>
              <w:ind w:right="740"/>
              <w:spacing w:after="0" w:line="129" w:lineRule="exact"/>
              <w:rPr>
                <w:sz w:val="20"/>
                <w:szCs w:val="20"/>
                <w:color w:val="auto"/>
              </w:rPr>
            </w:pPr>
            <w:r>
              <w:rPr>
                <w:rFonts w:ascii="Arial" w:cs="Arial" w:eastAsia="Arial" w:hAnsi="Arial"/>
                <w:sz w:val="14"/>
                <w:szCs w:val="14"/>
                <w:b w:val="1"/>
                <w:bCs w:val="1"/>
                <w:color w:val="auto"/>
                <w:w w:val="85"/>
              </w:rPr>
              <w:t>1 -50bps Above</w:t>
            </w:r>
          </w:p>
        </w:tc>
        <w:tc>
          <w:tcPr>
            <w:tcW w:w="1780" w:type="dxa"/>
            <w:vAlign w:val="bottom"/>
            <w:gridSpan w:val="3"/>
          </w:tcPr>
          <w:p>
            <w:pPr>
              <w:jc w:val="center"/>
              <w:ind w:right="760"/>
              <w:spacing w:after="0" w:line="129" w:lineRule="exact"/>
              <w:rPr>
                <w:sz w:val="20"/>
                <w:szCs w:val="20"/>
                <w:color w:val="auto"/>
              </w:rPr>
            </w:pPr>
            <w:r>
              <w:rPr>
                <w:rFonts w:ascii="Arial" w:cs="Arial" w:eastAsia="Arial" w:hAnsi="Arial"/>
                <w:sz w:val="14"/>
                <w:szCs w:val="14"/>
                <w:b w:val="1"/>
                <w:bCs w:val="1"/>
                <w:color w:val="auto"/>
                <w:w w:val="85"/>
              </w:rPr>
              <w:t>51 -150bps Above</w:t>
            </w:r>
          </w:p>
        </w:tc>
        <w:tc>
          <w:tcPr>
            <w:tcW w:w="15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More than 150bps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Lifetime Contractual Minimum</w:t>
            </w:r>
          </w:p>
        </w:tc>
        <w:tc>
          <w:tcPr>
            <w:tcW w:w="100" w:type="dxa"/>
            <w:vAlign w:val="bottom"/>
          </w:tcPr>
          <w:p>
            <w:pPr>
              <w:spacing w:after="0"/>
              <w:rPr>
                <w:sz w:val="12"/>
                <w:szCs w:val="12"/>
                <w:color w:val="auto"/>
              </w:rPr>
            </w:pP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7"/>
              </w:rPr>
              <w:t>Minimum</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4"/>
              </w:rPr>
              <w:t>Minimum</w:t>
            </w:r>
          </w:p>
        </w:tc>
        <w:tc>
          <w:tcPr>
            <w:tcW w:w="80" w:type="dxa"/>
            <w:vAlign w:val="bottom"/>
          </w:tcPr>
          <w:p>
            <w:pPr>
              <w:spacing w:after="0"/>
              <w:rPr>
                <w:sz w:val="12"/>
                <w:szCs w:val="12"/>
                <w:color w:val="auto"/>
              </w:rPr>
            </w:pPr>
          </w:p>
        </w:tc>
        <w:tc>
          <w:tcPr>
            <w:tcW w:w="17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4"/>
              </w:rPr>
              <w:t>Minimum</w:t>
            </w:r>
          </w:p>
        </w:tc>
        <w:tc>
          <w:tcPr>
            <w:tcW w:w="15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Above Minimum</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Guaranteed Interest Rate</w:t>
            </w:r>
          </w:p>
        </w:tc>
        <w:tc>
          <w:tcPr>
            <w:tcW w:w="10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9"/>
              </w:rPr>
              <w:t>Guarantee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9"/>
              </w:rPr>
              <w:t>Guarantee</w:t>
            </w:r>
          </w:p>
        </w:tc>
        <w:tc>
          <w:tcPr>
            <w:tcW w:w="80" w:type="dxa"/>
            <w:vAlign w:val="bottom"/>
          </w:tcPr>
          <w:p>
            <w:pPr>
              <w:spacing w:after="0"/>
              <w:rPr>
                <w:sz w:val="14"/>
                <w:szCs w:val="14"/>
                <w:color w:val="auto"/>
              </w:rPr>
            </w:pPr>
          </w:p>
        </w:tc>
        <w:tc>
          <w:tcPr>
            <w:tcW w:w="17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Guarantee</w:t>
            </w:r>
          </w:p>
        </w:tc>
        <w:tc>
          <w:tcPr>
            <w:tcW w:w="160" w:type="dxa"/>
            <w:vAlign w:val="bottom"/>
          </w:tcPr>
          <w:p>
            <w:pPr>
              <w:spacing w:after="0"/>
              <w:rPr>
                <w:sz w:val="14"/>
                <w:szCs w:val="14"/>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5"/>
              </w:rPr>
              <w:t>Guarantee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2"/>
          </w:tcPr>
          <w:p>
            <w:pPr>
              <w:jc w:val="center"/>
              <w:ind w:right="82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Annuities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4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331.6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658.0</w:t>
            </w:r>
          </w:p>
        </w:tc>
        <w:tc>
          <w:tcPr>
            <w:tcW w:w="7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673.3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1,001.2</w:t>
            </w:r>
          </w:p>
        </w:tc>
        <w:tc>
          <w:tcPr>
            <w:tcW w:w="4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2,664.1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2,590.7</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2,491.7</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4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112.4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0.6</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906.7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420"/>
              <w:spacing w:after="0"/>
              <w:rPr>
                <w:sz w:val="20"/>
                <w:szCs w:val="20"/>
                <w:color w:val="auto"/>
              </w:rPr>
            </w:pPr>
            <w:r>
              <w:rPr>
                <w:rFonts w:ascii="Arial" w:cs="Arial" w:eastAsia="Arial" w:hAnsi="Arial"/>
                <w:sz w:val="18"/>
                <w:szCs w:val="18"/>
                <w:color w:val="auto"/>
              </w:rPr>
              <w:t>&gt;3.0%</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1,188.3</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1,188.3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2,965.9</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1,340.6</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3,264.0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3,492.9</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11,063.4</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8"/>
                <w:szCs w:val="18"/>
                <w:color w:val="auto"/>
              </w:rPr>
              <w:t>Percentage of Total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26.8%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fixed indexed annuity provides contract holders a choice of a traditional fixed-rate account and one or more indexed accounts. Indexed accounts allow the contract holder to elect an interest rate linked to the performance of the Standard &amp; Poor’s 500 Index</w:t>
      </w:r>
      <w:r>
        <w:rPr>
          <w:rFonts w:ascii="Arial" w:cs="Arial" w:eastAsia="Arial" w:hAnsi="Arial"/>
          <w:sz w:val="10"/>
          <w:szCs w:val="10"/>
          <w:color w:val="auto"/>
        </w:rPr>
        <w:t>®</w:t>
      </w:r>
      <w:r>
        <w:rPr>
          <w:rFonts w:ascii="Arial" w:cs="Arial" w:eastAsia="Arial" w:hAnsi="Arial"/>
          <w:sz w:val="16"/>
          <w:szCs w:val="16"/>
          <w:color w:val="auto"/>
        </w:rPr>
        <w:t xml:space="preserve"> (“S&amp;P 500”) or a commodities-based index. Contract holders may also select the crediting method, which can be based on the annual net change in the index or a monthly average. The indexed interest rate is guaranteed never to be less than zero and cannot exceed the cap rate set at the beginning of each interest term. Interest is credited annually, at the end of each term. A contract holder may elect to change allocations annually at their renewal date. At each renewal date, we have the opportunity to re-price the indexed component (i.e. reset the cap rates), subject to contractual guarantees.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Both our traditional and indexed fixed annuity contracts permit the contract owners to make withdrawals during the accumulation period. Contract owners may withdraw all or part of the premium paid, plus the amount credited to their accounts, subject to contract provisions such as surrender charges that vary depending upon the terms of the product. The contracts impose surrender charges that typically vary from 7.0% to 9.0% of the amount withdrawn, starting in the year of contract issue and decreasing to zero over a five- to seven-year period. Approximately $8.0 billion, or 72.6%, of the total account value of our fixed annuities as of December 31, 2012, was subject to surrender charges.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price our products based upon our expected investment returns and our expectations for mortality, longevity and the probability that a policy or contract will remain in force from one period to the next, referred to as persistency, for the group of our contract owners as a whole. As part of pricing, we take into account mortality improvements in the general population and our historical experience. Additionally, we analyze the risk profile of the product, special reserving and capital requirements, and the expected expenses we will incur. For our fixed indexed annuity, we hedge our exposure to changes in the indices for the current reset period by purchasing options and futures that are correlated to the indexed account allocation decisions of our contract holders. Recent requirements from the Dodd-Frank Act related to derivative transactions may challenge our ability to effectively and efficiently hedge our equity market exposure related to our FIA product. For more information regarding our risks in using derivative instruments, see the discussion in Item 1A — “Risk Factors.”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Annuities</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currently offer variable annuities that allow the contract owner to make payments into a separate account divided into subaccounts that each invest in shares of a designated underlying mutual fund. Like a fixed annuity, a deferred variable annuity has an accumulation period and a payout period. There is no guaranteed minimum rate of return for investments in the subaccounts, and the contract owner bears the entire risk associated with the performance of these subaccounts, subject to the guaranteed minimum death benefit (GMDB). The majority of our GMDB risk on our variable annuities is reinsured. We do not offer guaranteed living benefits.</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Variable annuities provide us with fee revenue in the form of flat-fee charges, mortality and expense risk charges, and asset- related administration charges. The mortality and expense risk charge and asset related administration charge equal a percentage of the contract owner’s assets in the separate account at annual rates ranging from 0.6% to 1.4%. As of December 31, 2012, we had $723.3 million of variable account value held in our separate account.</w:t>
      </w:r>
    </w:p>
    <w:p>
      <w:pPr>
        <w:spacing w:after="0" w:line="10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2012, we launched a new variable annuity product, True VA, designed to appeal to customers of the fee-based independent investment adviser market through which this product is distributed. True VA has a wide variety of separate account subaccounts that invest in shares of underlying mutual funds, including mutual funds that are part of our Symetra Mutual Funds Trust. These Symetra mutual funds, which are operated by our newly-established investment adviser, are available through our True VA product and not to the general public. In the future, these funds may also be available in other products we offer. True VA does not offer a guaranteed-rate account or GMDB, both of which are available in our traditional variable annuity products. In 2013, we plan to leverage our True VA platform to create a commission-based variable annuity with no guaranteed living benefits to be sold through our existing financial institution and broker-dealer partners.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distribute our deferred annuities primarily through financial institutions, with sales and marketing support provided by our wholesalers.</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table sets forth sales in our Deferred Annuities segment, which represent deposits for new policies net of first year policy lapses and/or surrenders: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For the Years Ended December 31,</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left="258"/>
              <w:spacing w:after="0" w:line="142" w:lineRule="exact"/>
              <w:rPr>
                <w:sz w:val="20"/>
                <w:szCs w:val="20"/>
                <w:color w:val="auto"/>
              </w:rPr>
            </w:pPr>
            <w:r>
              <w:rPr>
                <w:rFonts w:ascii="Arial" w:cs="Arial" w:eastAsia="Arial" w:hAnsi="Arial"/>
                <w:sz w:val="14"/>
                <w:szCs w:val="14"/>
                <w:b w:val="1"/>
                <w:bCs w:val="1"/>
                <w:color w:val="auto"/>
                <w:w w:val="83"/>
              </w:rPr>
              <w:t>2011</w:t>
            </w:r>
          </w:p>
        </w:tc>
        <w:tc>
          <w:tcPr>
            <w:tcW w:w="7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40" w:type="dxa"/>
            <w:vAlign w:val="bottom"/>
            <w:gridSpan w:val="3"/>
          </w:tcPr>
          <w:p>
            <w:pPr>
              <w:jc w:val="center"/>
              <w:ind w:right="46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annuities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823.0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$1,745.5</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$1,776.8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Fixed indexed annuities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72"/>
              <w:spacing w:after="0"/>
              <w:rPr>
                <w:sz w:val="20"/>
                <w:szCs w:val="20"/>
                <w:color w:val="auto"/>
              </w:rPr>
            </w:pPr>
            <w:r>
              <w:rPr>
                <w:rFonts w:ascii="Arial" w:cs="Arial" w:eastAsia="Arial" w:hAnsi="Arial"/>
                <w:sz w:val="18"/>
                <w:szCs w:val="18"/>
                <w:color w:val="auto"/>
              </w:rPr>
              <w:t>292.6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7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Variable annuities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31.0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Total Deferred Annuities sales</w:t>
            </w: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4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tcPr>
          <w:p>
            <w:pPr>
              <w:jc w:val="right"/>
              <w:ind w:right="372"/>
              <w:spacing w:after="0"/>
              <w:rPr>
                <w:sz w:val="20"/>
                <w:szCs w:val="20"/>
                <w:color w:val="auto"/>
              </w:rPr>
            </w:pPr>
            <w:r>
              <w:rPr>
                <w:rFonts w:ascii="Arial" w:cs="Arial" w:eastAsia="Arial" w:hAnsi="Arial"/>
                <w:sz w:val="18"/>
                <w:szCs w:val="18"/>
                <w:color w:val="auto"/>
                <w:w w:val="86"/>
              </w:rPr>
              <w:t>1,146.6</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1,815.3</w:t>
            </w:r>
          </w:p>
        </w:tc>
        <w:tc>
          <w:tcPr>
            <w:tcW w:w="7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1,810.7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sales from top 5 partners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59.8%</w:t>
            </w: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60.8%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During 2012, 2011, and 2010, sales through our largest partner comprised 29%, 22%, and 16% of total Deferred Annuities sales, respectively. The attractiveness of our products to distributors depends on many factors. For example, many of our annuity products compete on the interest rates we credit initially and through the life of the contract. We may position our products to have more level interest rates through the life of the contract, which could reduce our sales volumes. Additionally, we believe that offering a return based on market indexes in our fixed indexed annuity product is an attractive alternative to traditional fixed-rate annuities.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industry-wide sales of deferred annuities have declined since 2009 due to the low interest rate environment, which has also resulted in increased competition for customers. The combination of these forces has negatively impacted our sales in the last two years. We proactively adjust our crediting rates on new deposits to reflect current interest rates in order to maintain our interest spreads. Although consumers may be less willing to invest long term at the current levels of interest rates, we believe our products are competitive compared to other alternatives. Sales of our FIA product increased during 2012, and we are focused on expanding our distribution network and product offerings to achieve even higher FIA sales in 2013. We have yet to gain any traction with sales of our new True VA product since launching in mid-2012. During 2013, we plan to refocus our sales efforts and launch a commission-based version of this product to sell through our existing financial institution and broker-based distribution.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Annuities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We offer retail immediate annuities that guarantee a series of payments that continue either for a certain number of years or for the remainder of an annuitant’s life. Payments can begin immediately or be deferred several years into the future. As of December 31, 2012, we had $879.7 million of reserves associated with retail immediate annuities.</w:t>
      </w:r>
    </w:p>
    <w:p>
      <w:pPr>
        <w:spacing w:after="0" w:line="14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As a result of the continued low interest rate environment, we are focused on shorter-duration SPIAs to reduce reinvestment rate risk. We believe that the demographic trend of greater numbers of people approaching retirement age and their corresponding need for dependable retirement income to last their entire lives will help maintain sales. However, we expect SPIA sales will continue to be pressured by the low interest rate environment.</w:t>
      </w:r>
    </w:p>
    <w:p>
      <w:pPr>
        <w:spacing w:after="0" w:line="10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In late 2012, we discontinued sales of structured settlement annuities, which provide an alternative to a lump sum settlement, generally for a personal physical injury or worker’s compensation claim. We will continue to service our existing block of business. As of December 31, 2012, we had $5.7 billion of reserves associated with structured settlement annuities.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earnings from the Income Annuities segment are driven by the spread on our investment of premiums versus the interest rate assumptions we used to set reserves for these contracts, less acquisition and administrative expenses. Earnings also increase or decrease on the contracts that contain life contingent payments depending upon our mortality experience. Mortality gains (losses) represent the difference between actual and expected reserves released on our life-contingent annuities. Mortality experience is volatile and can fluctuate significantly from quarter to quarter.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Immediate Annuities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Immediate annuities differ from deferred annuities in that they provide for contractually guaranteed payments that typically begin within one year of issue. In exchange for a single premium, immediate annuities provide a fixed amount of income for either a defined number of years, the annuitant’s life time or the longer of a defined number of years or the annuitant’s lifetime. Generally, the immediate annuities available in the marketplace do not provide for surrender or policy loans by the contract holder. We offer a liquidity feature that allows the contract holder to periodically reduce a portion of the future payments in exchange for a present value lump sum. We also offer a feature that allows beneficiaries to convert remaining non-life contingent benefits to a lump sum after death of the annuitant. Certain products enable the customer to pick a payment start date several years after contract purchase, which we believe provides a cost effective means of funding a future income stream.</w:t>
      </w:r>
    </w:p>
    <w:p>
      <w:pPr>
        <w:spacing w:after="0" w:line="118"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price immediate annuities using industry produced annuity mortality information, our mortality experience and assumptions regarding continued improvement in annuitant longevity, as well as assumptions regarding investment yields at the time of issue and thereafter. Our immediate annuities with life contingencies can be underwritten internally. If we determine the annuitant has a shorter or longer than standard life expectancy, we can adjust our pricing to reflect that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Structured Settlements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Structured settlement annuities are typically purchased by property and casualty insurance companies for the benefit of an injured claimant, generally in a personal, physical injury lawsuit or worker’s compensation claim. Structured settlement annuities are long-term in nature, guarantee a fixed benefit stream and generally do not permit surrender or borrowing against the amounts outstanding under the contract. We discontinued sales of our structured settlements in the fourth quarter of 2012, but will continue to service our existing block of business. In addition, during 2011 and 2012 we had a third-party wholesaling services agreement for which we received fee revenue. This agreement was terminated in early 2013.</w:t>
      </w:r>
    </w:p>
    <w:p>
      <w:pPr>
        <w:spacing w:after="0" w:line="11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offer funding services to existing payees whose financial circumstances may have changed from the time they originally received a structured settlement. Our funding services provide a lump sum payment to replace future benefit payments.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distribute our SPIAs primarily through financial institutions, with sales and marketing support provided by our wholesalers. Our structured settlement products were distributed through specialized brokers.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table sets forth sales in our Income Annuities segment, which represent deposits for new policies net of first year policy lapses and/or surrenders: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40" w:type="dxa"/>
            <w:vAlign w:val="bottom"/>
            <w:gridSpan w:val="6"/>
          </w:tcPr>
          <w:p>
            <w:pPr>
              <w:jc w:val="center"/>
              <w:ind w:right="700"/>
              <w:spacing w:after="0"/>
              <w:rPr>
                <w:sz w:val="20"/>
                <w:szCs w:val="20"/>
                <w:color w:val="auto"/>
              </w:rPr>
            </w:pPr>
            <w:r>
              <w:rPr>
                <w:rFonts w:ascii="Arial" w:cs="Arial" w:eastAsia="Arial" w:hAnsi="Arial"/>
                <w:sz w:val="14"/>
                <w:szCs w:val="14"/>
                <w:b w:val="1"/>
                <w:bCs w:val="1"/>
                <w:color w:val="auto"/>
                <w:w w:val="86"/>
              </w:rPr>
              <w:t>For the Years Ended December 31,</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center"/>
              <w:ind w:left="280"/>
              <w:spacing w:after="0" w:line="142" w:lineRule="exact"/>
              <w:rPr>
                <w:sz w:val="20"/>
                <w:szCs w:val="20"/>
                <w:color w:val="auto"/>
              </w:rPr>
            </w:pPr>
            <w:r>
              <w:rPr>
                <w:rFonts w:ascii="Arial" w:cs="Arial" w:eastAsia="Arial" w:hAnsi="Arial"/>
                <w:sz w:val="14"/>
                <w:szCs w:val="14"/>
                <w:b w:val="1"/>
                <w:bCs w:val="1"/>
                <w:color w:val="auto"/>
                <w:w w:val="83"/>
              </w:rPr>
              <w:t>2011</w:t>
            </w:r>
          </w:p>
        </w:tc>
        <w:tc>
          <w:tcPr>
            <w:tcW w:w="7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20" w:type="dxa"/>
            <w:vAlign w:val="bottom"/>
            <w:gridSpan w:val="3"/>
          </w:tcPr>
          <w:p>
            <w:pPr>
              <w:jc w:val="center"/>
              <w:ind w:right="38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SPIA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$173.5</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$ 111.1</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$ 153.6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440"/>
              <w:spacing w:after="0"/>
              <w:rPr>
                <w:sz w:val="20"/>
                <w:szCs w:val="20"/>
                <w:color w:val="auto"/>
              </w:rPr>
            </w:pPr>
            <w:r>
              <w:rPr>
                <w:rFonts w:ascii="Arial" w:cs="Arial" w:eastAsia="Arial" w:hAnsi="Arial"/>
                <w:sz w:val="18"/>
                <w:szCs w:val="18"/>
                <w:color w:val="auto"/>
              </w:rPr>
              <w:t>Structured settlements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7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Income Annuities sales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258.2</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221.9</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$ 260.0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Percentage of SPIA sales from top 5 partners</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40" w:type="dxa"/>
            <w:vAlign w:val="bottom"/>
            <w:vMerge w:val="continue"/>
          </w:tcPr>
          <w:p>
            <w:pPr>
              <w:spacing w:after="0"/>
              <w:rPr>
                <w:sz w:val="18"/>
                <w:szCs w:val="18"/>
                <w:color w:val="auto"/>
              </w:rPr>
            </w:pPr>
          </w:p>
        </w:tc>
        <w:tc>
          <w:tcPr>
            <w:tcW w:w="900" w:type="dxa"/>
            <w:vAlign w:val="bottom"/>
            <w:gridSpan w:val="2"/>
          </w:tcPr>
          <w:p>
            <w:pPr>
              <w:jc w:val="right"/>
              <w:ind w:right="192"/>
              <w:spacing w:after="0"/>
              <w:rPr>
                <w:sz w:val="20"/>
                <w:szCs w:val="20"/>
                <w:color w:val="auto"/>
              </w:rPr>
            </w:pPr>
            <w:r>
              <w:rPr>
                <w:rFonts w:ascii="Arial" w:cs="Arial" w:eastAsia="Arial" w:hAnsi="Arial"/>
                <w:sz w:val="18"/>
                <w:szCs w:val="18"/>
                <w:color w:val="auto"/>
              </w:rPr>
              <w:t>32.1%</w:t>
            </w:r>
          </w:p>
        </w:tc>
        <w:tc>
          <w:tcPr>
            <w:tcW w:w="1620" w:type="dxa"/>
            <w:vAlign w:val="bottom"/>
            <w:gridSpan w:val="3"/>
          </w:tcPr>
          <w:p>
            <w:pPr>
              <w:jc w:val="right"/>
              <w:ind w:right="620"/>
              <w:spacing w:after="0"/>
              <w:rPr>
                <w:sz w:val="20"/>
                <w:szCs w:val="20"/>
                <w:color w:val="auto"/>
              </w:rPr>
            </w:pPr>
            <w:r>
              <w:rPr>
                <w:rFonts w:ascii="Arial" w:cs="Arial" w:eastAsia="Arial" w:hAnsi="Arial"/>
                <w:sz w:val="18"/>
                <w:szCs w:val="18"/>
                <w:color w:val="auto"/>
              </w:rPr>
              <w:t>33.6%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compete with a large number of life insurance companies in the single premium immediate annuity marketplace. We continue to see long-term growth prospects for single premium immediate annuities based on demographics. Our experience with mortality and longevity risk, combined with disciplined underwriting, drive our product pricing and product designs, which ultimately contributes to our competitiveness in the marketplace. In 2012, we focused on sales of short-duration SPIAs with sales strategies to help customers maximize retirement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Life Division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Life insurance provides protection against financial hardship after the death of an insured by providing cash payments to the beneficiaries of the policyholder. We offer universal life insurance products that are designed to provide protection for the entire life of the insured, and may include a buildup of cash value that can be used to meet the policyholder’s financial needs during their lifetime. Our individual term life products provide life insurance coverage with guaranteed level premiums for a specified period of time, with little or no buildup of cash value payable upon lapse of the coverage. We also offer institutional products, which are life insurance products for banks and other corporate institutions seeking a tax-advantaged investment solution to fund their future employee benefit liabilities.</w:t>
      </w:r>
    </w:p>
    <w:p>
      <w:pPr>
        <w:spacing w:after="0" w:line="144"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Our Individual Life Division earnings are driven by mortality experience primarily on our term and traditional life products, investment margins primarily on our universal life products and expense margins (charges assessed to our policyholder less expenses incurred to manage our business). Our BOLI earnings are driven by return on assets, calculated as total revenues including net investment income and cost of insurance charges less total policyholder benefits and claims as a percentage of BOLI account values.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Universal Life Insurance</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offer several universal life insurance products with a range of product features, which provide policyholders with lifetime death benefit coverage. Our Classic UL product offers the ability to accumulate assets on a flexible, tax-deferred basis with the option to access the cash value of the policy through a policy loan, partial withdrawal or full surrender. In late 2012, we refreshed our lapse protection benefit (LPB) rider for Classic UL, which offers lower premiums while maintaining some cash accumulation value, which we believe will make our product more competitive and attractive to our target customers. Most of our universal life products allow policyholders to adjust the timing and amount of premium payments. We also offer a single-premium life product; however, during this low interest rate environment, sales have not been significant and we expect this trend to continue.</w:t>
      </w:r>
    </w:p>
    <w:p>
      <w:pPr>
        <w:spacing w:after="0" w:line="12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credit premiums paid, less certain expenses, to the policyholder’s account. From that account, we deduct regular expense charges and certain risk charges, known as cost of insurance charges (COI), which generally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increase from year to year as the insured ages. Most of our UL policies also include provisions for surrender charges for early termination and partial withdrawals.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we had $716.0 million of account values associated with our universal life products.</w:t>
      </w:r>
    </w:p>
    <w:p>
      <w:pPr>
        <w:spacing w:after="0" w:line="165"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We credit interest on policyholder account balances at a rate determined by us, but not less than a contractually guaranteed minimum. Our universal life products have contractual provisions that allow crediting rates to be reset at contractually-defined intervals, subject to minimum crediting rate guarantees. We have adjusted, and will continue to adjust crediting rates in an attempt to maintain our interest spreads on new business, as well as in-force business.</w:t>
      </w:r>
    </w:p>
    <w:p>
      <w:pPr>
        <w:spacing w:after="0" w:line="10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presents our account values by lifetime minimum guaranteed crediting rate and differences from the current crediting rate, as of December 31, 2012.</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1080"/>
              <w:spacing w:after="0"/>
              <w:rPr>
                <w:sz w:val="20"/>
                <w:szCs w:val="20"/>
                <w:color w:val="auto"/>
              </w:rPr>
            </w:pPr>
            <w:r>
              <w:rPr>
                <w:rFonts w:ascii="Arial" w:cs="Arial" w:eastAsia="Arial" w:hAnsi="Arial"/>
                <w:sz w:val="14"/>
                <w:szCs w:val="14"/>
                <w:b w:val="1"/>
                <w:bCs w:val="1"/>
                <w:color w:val="auto"/>
              </w:rPr>
              <w:t>Account Value</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At Contractual</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7"/>
              </w:rPr>
              <w:t>Minimum</w:t>
            </w:r>
          </w:p>
        </w:tc>
        <w:tc>
          <w:tcPr>
            <w:tcW w:w="380" w:type="dxa"/>
            <w:vAlign w:val="bottom"/>
          </w:tcPr>
          <w:p>
            <w:pPr>
              <w:spacing w:after="0"/>
              <w:rPr>
                <w:sz w:val="12"/>
                <w:szCs w:val="12"/>
                <w:color w:val="auto"/>
              </w:rPr>
            </w:pPr>
          </w:p>
        </w:tc>
        <w:tc>
          <w:tcPr>
            <w:tcW w:w="1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Above Minimum</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20"/>
                <w:szCs w:val="20"/>
                <w:color w:val="auto"/>
              </w:rPr>
            </w:pPr>
            <w:r>
              <w:rPr>
                <w:rFonts w:ascii="Arial" w:cs="Arial" w:eastAsia="Arial" w:hAnsi="Arial"/>
                <w:sz w:val="14"/>
                <w:szCs w:val="14"/>
                <w:b w:val="1"/>
                <w:bCs w:val="1"/>
                <w:color w:val="auto"/>
              </w:rPr>
              <w:t>Lifetime Contractual Minimum Guaranteed Interest Rate</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Guarantee</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95"/>
              </w:rPr>
              <w:t>Guarantee</w:t>
            </w:r>
          </w:p>
        </w:tc>
        <w:tc>
          <w:tcPr>
            <w:tcW w:w="100" w:type="dxa"/>
            <w:vAlign w:val="bottom"/>
          </w:tcPr>
          <w:p>
            <w:pPr>
              <w:spacing w:after="0"/>
              <w:rPr>
                <w:sz w:val="14"/>
                <w:szCs w:val="14"/>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4"/>
          </w:tcPr>
          <w:p>
            <w:pPr>
              <w:jc w:val="right"/>
              <w:ind w:right="1140"/>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Universal Life Insurance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&gt;2.0% — 3.0%</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400" w:type="dxa"/>
            <w:vAlign w:val="bottom"/>
          </w:tcPr>
          <w:p>
            <w:pPr>
              <w:spacing w:after="0"/>
              <w:rPr>
                <w:sz w:val="18"/>
                <w:szCs w:val="18"/>
                <w:color w:val="auto"/>
              </w:rPr>
            </w:pP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&gt;3.0% — 4.0%</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440"/>
              <w:spacing w:after="0"/>
              <w:rPr>
                <w:sz w:val="20"/>
                <w:szCs w:val="20"/>
                <w:color w:val="auto"/>
              </w:rPr>
            </w:pPr>
            <w:r>
              <w:rPr>
                <w:rFonts w:ascii="Arial" w:cs="Arial" w:eastAsia="Arial" w:hAnsi="Arial"/>
                <w:sz w:val="18"/>
                <w:szCs w:val="18"/>
                <w:color w:val="auto"/>
              </w:rPr>
              <w:t>&gt;4.0% — 5.0%</w:t>
            </w:r>
          </w:p>
        </w:tc>
        <w:tc>
          <w:tcPr>
            <w:tcW w:w="1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432.8</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432.9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505.4</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716.0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Percentage of Total</w:t>
            </w: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6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70.6%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100.0%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Our current universal life insurance product design and the small size of our UL reserves limit the impact from statutory reserves mandated by the valuation of life insurance policies model regulation, also known in the insurance industry as AXXX deficiency reserves. We had $14.7 million of AXXX deficiency reserves as of December 31, 2012. We expect to implement financing solutions as a strategy to manage these reserves in the future, as sales of our Classic UL product with our LPB rider may lead to growth.</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Life Insurance</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Term life products provide a guaranteed benefit upon the death of the insured while the coverage is in force. Our term life policies have little to no cash value buildup and therefore rarely have a payment due if a policyholder decides to lapse the policy. As of December 31, 2012, we had $169.4 million of reserves associated with our term life and other traditional life products.</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primary term life insurance products have guaranteed level premiums for initial terms of 10, 15, 20 or 30 years. After the guaranteed period expires, premiums increase annually and the policyholder has the option to continue under the current policy by paying the increased premiums without demonstrating insurability, or qualify for a new policy by submitting again to the underwriting process. Coverage continues until the insured reaches the policy expiration age or the policyholder ceases to make premium payments or otherwise terminates the policy, including potentially converting to a permanent plan of insurance.</w:t>
      </w:r>
    </w:p>
    <w:p>
      <w:pPr>
        <w:spacing w:after="0" w:line="113" w:lineRule="exact"/>
        <w:rPr>
          <w:sz w:val="20"/>
          <w:szCs w:val="20"/>
          <w:color w:val="auto"/>
        </w:rPr>
      </w:pPr>
    </w:p>
    <w:p>
      <w:pPr>
        <w:ind w:right="580" w:firstLine="456"/>
        <w:spacing w:after="0" w:line="370" w:lineRule="auto"/>
        <w:rPr>
          <w:sz w:val="20"/>
          <w:szCs w:val="20"/>
          <w:color w:val="auto"/>
        </w:rPr>
      </w:pPr>
      <w:r>
        <w:rPr>
          <w:rFonts w:ascii="Arial" w:cs="Arial" w:eastAsia="Arial" w:hAnsi="Arial"/>
          <w:sz w:val="15"/>
          <w:szCs w:val="15"/>
          <w:color w:val="auto"/>
        </w:rPr>
        <w:t>The current size of our term insurance business limits the impact from statutory reserves mandated by the valuation of life insurance policies model regulation, also known in the insurance industry as XXX deficiency reserves. We had $8.6 million of XXX deficiency reserves as of December 31,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Institutional Products</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Institutional products primarily consist of our BOLI business. In 2012 we also added a variable COLI product to our portfolio, but did not issue a policy. Our BOLI and COLI products are life insurance purchased by banks or corporations to insure the lives of its employees, usually officers and other highly compensated employees. BOLI and COLI policies are commonly used to fund employee pension plans and benefit plans as a tax-advantaged asset to back employee benefit liabilities.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Our fixed rate BOLI product offers customers a highly stable, low-risk investment with an annual after-tax equivalent return that is generally higher than traditional investments. As of December 31, 2012, we had $4.7 billion of direct BOLI account values. The majority of our BOLI account value has contractual provisions allowing us to adjust the interest crediting rate periodically, based on the portfolio yield and subject to certain contractual minimums. We have adjusted, and will continue to adjust, crediting rates in an attempt to maintain our interest spreads.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presents our BOLI account values by lifetime minimum guaranteed crediting rate and differences from the current crediting rate, as of December 31,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1060"/>
              <w:spacing w:after="0"/>
              <w:rPr>
                <w:sz w:val="20"/>
                <w:szCs w:val="20"/>
                <w:color w:val="auto"/>
              </w:rPr>
            </w:pPr>
            <w:r>
              <w:rPr>
                <w:rFonts w:ascii="Arial" w:cs="Arial" w:eastAsia="Arial" w:hAnsi="Arial"/>
                <w:sz w:val="14"/>
                <w:szCs w:val="14"/>
                <w:b w:val="1"/>
                <w:bCs w:val="1"/>
                <w:color w:val="auto"/>
              </w:rPr>
              <w:t>Account Value</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0" w:type="dxa"/>
            <w:vAlign w:val="bottom"/>
          </w:tcPr>
          <w:p>
            <w:pPr>
              <w:spacing w:after="0"/>
              <w:rPr>
                <w:sz w:val="11"/>
                <w:szCs w:val="11"/>
                <w:color w:val="auto"/>
              </w:rPr>
            </w:pPr>
          </w:p>
        </w:tc>
        <w:tc>
          <w:tcPr>
            <w:tcW w:w="13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At Contractual</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7"/>
              </w:rPr>
              <w:t>Minimum</w:t>
            </w:r>
          </w:p>
        </w:tc>
        <w:tc>
          <w:tcPr>
            <w:tcW w:w="380" w:type="dxa"/>
            <w:vAlign w:val="bottom"/>
          </w:tcPr>
          <w:p>
            <w:pPr>
              <w:spacing w:after="0"/>
              <w:rPr>
                <w:sz w:val="12"/>
                <w:szCs w:val="12"/>
                <w:color w:val="auto"/>
              </w:rPr>
            </w:pPr>
          </w:p>
        </w:tc>
        <w:tc>
          <w:tcPr>
            <w:tcW w:w="1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Above Minimum</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00" w:type="dxa"/>
            <w:vAlign w:val="bottom"/>
          </w:tcPr>
          <w:p>
            <w:pPr>
              <w:spacing w:after="0"/>
              <w:rPr>
                <w:sz w:val="20"/>
                <w:szCs w:val="20"/>
                <w:color w:val="auto"/>
              </w:rPr>
            </w:pPr>
            <w:r>
              <w:rPr>
                <w:rFonts w:ascii="Arial" w:cs="Arial" w:eastAsia="Arial" w:hAnsi="Arial"/>
                <w:sz w:val="14"/>
                <w:szCs w:val="14"/>
                <w:b w:val="1"/>
                <w:bCs w:val="1"/>
                <w:color w:val="auto"/>
              </w:rPr>
              <w:t>Lifetime Contractual Minimum Guaranteed Interest Rate</w:t>
            </w:r>
          </w:p>
        </w:tc>
        <w:tc>
          <w:tcPr>
            <w:tcW w:w="12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9"/>
              </w:rPr>
              <w:t>Guarantee</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92"/>
              </w:rPr>
              <w:t>Guarantee</w:t>
            </w:r>
          </w:p>
        </w:tc>
        <w:tc>
          <w:tcPr>
            <w:tcW w:w="8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(In millions)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Bank Owned Life Insurance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&gt;1.0% — 2.0%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404.1</w:t>
            </w:r>
          </w:p>
        </w:tc>
        <w:tc>
          <w:tcPr>
            <w:tcW w:w="8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&gt;2.0% — 3.0%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&gt;3.0% — 4.0%</w:t>
            </w:r>
          </w:p>
        </w:tc>
        <w:tc>
          <w:tcPr>
            <w:tcW w:w="12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711.8</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711.8</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&gt;4.0% — 5.0%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584.6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2,588.8</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3,173.4</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584.6</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4,075.2</w:t>
            </w:r>
          </w:p>
        </w:tc>
        <w:tc>
          <w:tcPr>
            <w:tcW w:w="8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4,659.8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table above presents the lifetime gross contractual minimum guaranteed interest rates for our BOLI policies, before COI charges and administration fees. The asset portfolios supporting the majority of our BOLI business are earning sufficient returns to support crediting rates higher than the guaranteed minimum, while maintaining our expense margins. If portfolio rates decrease, we can gradually decrease crediting rates towards the minimums. We may experience volatility on results of our BOLI business due to the timing of claims incurred and mortality experience.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and Pricing</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Our underwriting policies are generally consistent across our Individual Life products. We believe our rigorous underwriting and pricing practices are significant drivers of the consistent profitability of our life insurance business. We set pricing assumptions for expected claims, lapses, investment returns, expenses and customer demographics based on our own relevant experience and other factors. Our strategy is to price our products competitively for our target risk categories and not necessarily to be equally competitive in all categories.</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Most of our fully underwritten policies place each insurable life insurance applicant in one of six primary risk categories, depending upon current health, medical history and other factors. Each of these six categories has specific health criteria, including the applicant’s history of using nicotine products. We consider each life insurance application individually and apply our guidelines to place each applicant in the appropriate risk category. We may decline an applicant’s request for coverage if the applicant’s health or other risk factor assessment is unacceptable to us. We do not delegate underwriting decisions to independent sales intermediaries. Instead, all underwriting decisions are made by our own underwriting personnel or by our automated underwriting system. In 2012, we introduced our GoodLife Rewards program for Symetra Classic UL, which allows customers to earn credits that could qualify them into a more favorable underwriting risk class.</w:t>
      </w:r>
    </w:p>
    <w:p>
      <w:pPr>
        <w:spacing w:after="0" w:line="14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For specific markets where fully underwritten products are not preferred by the distributor, we have developed specially priced products to support a “simplified issue” process. This process enables us to reach applicants not served by traditional insurance agents. “Simplified issue” contracts are typically generated via worksite sales to employees and sales to retail bank customers. Insurance coverage amounts are limited and separate underwriting guidelines are applied for simplified issue policies.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fully underwritten term life insurance is 50% to 90% reinsured, which limits mortality risk retained by us. In early 2012, we prospectively updated our reinsurance agreements to retain face value up to $1.0 million for new policies. We review reinsurance coverage for each new product we offer to balance risk management and pricing expectations. We often share information with our reinsurers to gain their insights on potential mortality and underwriting risks and to benefit from their broad expertise. We use the information we obtain from the reinsurers to help us develop effective strategies to manage our underwriting risks.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offer our life insurance products primarily through retail channels, including financial institutions, brokerage general agents, independent agents, and financial advisers. We also utilize specialty agents to distribute our BOLI and COLI products.</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following table sets forth sales in our Individual Life segment, which represent annualized first year premiums for recurring premium products, and 10% of new single premium deposits, net of first year policy lapses or surrenders. BOLI sales represent 10% of new deposits:</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6"/>
              </w:rPr>
              <w:t>For the Years Ended December 31,</w:t>
            </w: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r>
      <w:tr>
        <w:trPr>
          <w:trHeight w:val="142"/>
        </w:trPr>
        <w:tc>
          <w:tcPr>
            <w:tcW w:w="4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3"/>
          </w:tcPr>
          <w:p>
            <w:pPr>
              <w:jc w:val="right"/>
              <w:ind w:right="720"/>
              <w:spacing w:after="0" w:line="142" w:lineRule="exact"/>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Term life</w:t>
            </w:r>
          </w:p>
        </w:tc>
        <w:tc>
          <w:tcPr>
            <w:tcW w:w="1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2.2</w:t>
            </w:r>
          </w:p>
        </w:tc>
        <w:tc>
          <w:tcPr>
            <w:tcW w:w="21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  2.0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w:t>
            </w:r>
          </w:p>
        </w:tc>
        <w:tc>
          <w:tcPr>
            <w:tcW w:w="200" w:type="dxa"/>
            <w:vAlign w:val="bottom"/>
            <w:shd w:val="clear" w:color="auto" w:fill="CCEEFF"/>
          </w:tcPr>
          <w:p>
            <w:pPr>
              <w:spacing w:after="0"/>
              <w:rPr>
                <w:sz w:val="18"/>
                <w:szCs w:val="18"/>
                <w:color w:val="auto"/>
              </w:rPr>
            </w:pPr>
          </w:p>
        </w:tc>
      </w:tr>
      <w:tr>
        <w:trPr>
          <w:trHeight w:val="216"/>
        </w:trPr>
        <w:tc>
          <w:tcPr>
            <w:tcW w:w="4800" w:type="dxa"/>
            <w:vAlign w:val="bottom"/>
          </w:tcPr>
          <w:p>
            <w:pPr>
              <w:ind w:left="440"/>
              <w:spacing w:after="0"/>
              <w:rPr>
                <w:sz w:val="20"/>
                <w:szCs w:val="20"/>
                <w:color w:val="auto"/>
              </w:rPr>
            </w:pPr>
            <w:r>
              <w:rPr>
                <w:rFonts w:ascii="Arial" w:cs="Arial" w:eastAsia="Arial" w:hAnsi="Arial"/>
                <w:sz w:val="18"/>
                <w:szCs w:val="18"/>
                <w:color w:val="auto"/>
              </w:rPr>
              <w:t>Universal life, including SPL</w:t>
            </w:r>
          </w:p>
        </w:tc>
        <w:tc>
          <w:tcPr>
            <w:tcW w:w="12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2100" w:type="dxa"/>
            <w:vAlign w:val="bottom"/>
            <w:gridSpan w:val="3"/>
          </w:tcPr>
          <w:p>
            <w:pPr>
              <w:jc w:val="right"/>
              <w:ind w:right="860"/>
              <w:spacing w:after="0"/>
              <w:rPr>
                <w:sz w:val="20"/>
                <w:szCs w:val="20"/>
                <w:color w:val="auto"/>
              </w:rPr>
            </w:pPr>
            <w:r>
              <w:rPr>
                <w:rFonts w:ascii="Arial" w:cs="Arial" w:eastAsia="Arial" w:hAnsi="Arial"/>
                <w:sz w:val="18"/>
                <w:szCs w:val="18"/>
                <w:color w:val="auto"/>
              </w:rPr>
              <w:t>9.7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r>
      <w:tr>
        <w:trPr>
          <w:trHeight w:val="27"/>
        </w:trPr>
        <w:tc>
          <w:tcPr>
            <w:tcW w:w="4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Individual sales</w:t>
            </w:r>
          </w:p>
        </w:tc>
        <w:tc>
          <w:tcPr>
            <w:tcW w:w="1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21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11.7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BOLI sales</w:t>
            </w:r>
          </w:p>
        </w:tc>
        <w:tc>
          <w:tcPr>
            <w:tcW w:w="1900" w:type="dxa"/>
            <w:vAlign w:val="bottom"/>
            <w:gridSpan w:val="3"/>
          </w:tcPr>
          <w:p>
            <w:pPr>
              <w:jc w:val="right"/>
              <w:ind w:right="160"/>
              <w:spacing w:after="0"/>
              <w:rPr>
                <w:sz w:val="20"/>
                <w:szCs w:val="20"/>
                <w:color w:val="auto"/>
              </w:rPr>
            </w:pPr>
            <w:r>
              <w:rPr>
                <w:rFonts w:ascii="Arial" w:cs="Arial" w:eastAsia="Arial" w:hAnsi="Arial"/>
                <w:sz w:val="18"/>
                <w:szCs w:val="18"/>
                <w:color w:val="auto"/>
              </w:rPr>
              <w:t>2.0</w:t>
            </w:r>
          </w:p>
        </w:tc>
        <w:tc>
          <w:tcPr>
            <w:tcW w:w="760" w:type="dxa"/>
            <w:vAlign w:val="bottom"/>
          </w:tcPr>
          <w:p>
            <w:pPr>
              <w:spacing w:after="0"/>
              <w:rPr>
                <w:sz w:val="18"/>
                <w:szCs w:val="18"/>
                <w:color w:val="auto"/>
              </w:rPr>
            </w:pPr>
          </w:p>
        </w:tc>
        <w:tc>
          <w:tcPr>
            <w:tcW w:w="134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46.1</w:t>
            </w:r>
          </w:p>
        </w:tc>
        <w:tc>
          <w:tcPr>
            <w:tcW w:w="2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Percentage of Individual sales from top 5 partners</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39.6%</w:t>
            </w:r>
          </w:p>
        </w:tc>
        <w:tc>
          <w:tcPr>
            <w:tcW w:w="21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45.3%</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42.2%</w:t>
            </w:r>
          </w:p>
        </w:tc>
      </w:tr>
    </w:tbl>
    <w:p>
      <w:pPr>
        <w:spacing w:after="0" w:line="154"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As a result of the low interest rate environment, it was a difficult sales environment for our BOLI product. It is less advantageous for institutions to purchase a product when rates are low, and for insurance carriers it is a highly competitive environment to capture market share.</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believe there are opportunities to expand our sales through our distribution channels. For our term products, we aim to leverage our existing strong relationships with financial institutions to generate sales in the middle-market. In addition, we continue to pursue sales through the BGA channel, both increasing our penetration with existing partners and expanding our reach to new partnerships. We believe our refreshed Classic UL with our LPB rider is well-positioned for this market.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face significant competition for customers and distributors from insurance and other non-insurance financial services companies, such as banks, broker-dealers and asset managers, in each of our businesses. Generally, our life, health and annuity insurance products compete with similar products offered by other large and highly rated insurers. In addition, our annuity products compete with products offered by other financial services companies. Competition in our operating business segments is based on a number of factors, including:</w:t>
      </w:r>
    </w:p>
    <w:p>
      <w:pPr>
        <w:spacing w:after="0" w:line="62"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features;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commissions;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strength of our brand;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reputation;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quality of service;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strength ratings;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purchase attractive assets;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diversification of distribution channels, including on-line distribution capabilities.</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relative importance of these factors depends on the particular product and market. For example, many of our annuity products compete on the interest rates we credit, resulting in the risk that our annuity purchasers may be able to obtain more favorable rates from our competitors, which may lead to a loss of current customers and future annuity business. Additionally, our ability to gain traction with new distribution partners may be impacted by a lack of consumer name recognition in certain markets.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believe that our distribution network, strong financial position, diverse business mix, and disciplined investment management provide us with competitive advantages. Further, most of our group insurance products are underwritten annually, which provides an opportunity to adjust our pricing for renewal. However, there is a risk that purchasers may be able to obtain more favorable rates from competitors than if they were to renew coverage with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We calculate and maintain reserves for estimated future benefit payments to our policyholders and contract holders in accordance with U.S. generally accepted accounting principles (GAAP). We establish reserves at amounts that we expect to be sufficient to satisfy our contractual obligations. We release these reserves as those future obligations are extinguished. The reserves we establish necessarily reflect estimates and actuarial assumptions with regard to our future experience. These estimates and actuarial assumptions involve the exercise of significant judgment. Our future financial results depend significantly upon the extent to which our actual future experience is consistent with the assumptions we have used in pricing our products and determining our reserves. Many factors can affect future experience, including economic and social conditions, inflation, healthcare costs, changes in doctrines of legal liability and damage awards in litigation. Therefore, we cannot determine with complete precision the ultimate amounts we will pay for actual future benefits or the timing of those payments.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Group Benefits and Group Life and DI</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reserves for unpaid group life and medical stop-loss insurance claims are estimates of the ultimate net cost of both reported losses that have not yet been settled and incurred but not yet reported losses. Reserves for incurred but not yet reported claims are based upon historic incidence rates, severity rates, reporting delays and any known events that we believe will materially affect claim levels.</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Reserves for long-term disability income claims are based upon factors including recovery, mortality, expenses, Social Security and other benefit offsets and interest rates. They represent the actuarial present value of benefits and associated expenses for current claims, reported claims that have not yet completed and incurred claims that have not yet been reported. Claims on long-term disability income insurance policies consist of payments to be made periodically (generally monthly) in accordance with the contractual terms of the policy.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Annuities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For our investment contracts, which are primarily deferred annuities, contract holder liabilities are equal to the accumulated contract account values, which generally consist of an accumulation of deposit payments, less withdrawals, plus interest credited to the account, less expense, mortality and product charges, if applicable. We also maintain a separate reserve, where applicable, for any expected future payments in excess of the account value due to the potential death of the contract holder.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Annuities</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Reserves for future contract benefits on our income annuity contracts are calculated as the present value of expected future contract holder benefits, discounted for mortality and interest. The interest and mortality discount assumptions are based on purchase accounting assumptions for the block of business prior to August 2, 2004. For business written on or after August 2, 2004, the interest and mortality discounts are based on pricing assumptions.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Individual Life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establish reserves for life insurance policies based upon generally recognized actuarial methods. We use mortality tables in general use in the United States, modified where appropriate to reflect relevant historical experience and our underwriting practices. Persistency, expense and interest rate assumptions are based upon relevant experience and expectations for future development.</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liability for policy benefits for universal life insurance and BOLI policies is equal to the balance that accrues to the benefit of policyholders, including credited interest, plus any amount needed to provide for additional benefits. We also establish reserves for amounts that we have deducted from the policyholder’s balance to compensate us for services to be performed in future periods.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managing our investments, we are focused on disciplined matching of our assets to our liabilities and preservation of principal. Within this framework, we seek to generate appropriate risk-adjusted returns through careful individual security analysis. We seek to reduce and manage credit risk by focusing on capital preservation, fundamental credit analysis and value-oriented security selection. Our investment portfolio consists in large part of high quality fixed maturities and commercial mortgage loans we originated, as well as a smaller allocation of high yield fixed maturities, marketable equity securities, investments in limited partnerships (primarily tax credit investments and private equity funds) and other investments. For further information on our investment portfolio, see Item 7 — “Management’s Discussion and Analysis of Financial Condition and Results of Operations — Investments.”</w:t>
      </w:r>
    </w:p>
    <w:p>
      <w:pPr>
        <w:spacing w:after="0" w:line="12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Investments held by our insurance subsidiaries must comply with the insurance laws and regulations of their state of domicile. Our primary insurance subsidiary is domiciled in Washington State. During 2012, Washington State law changed to increase the percentage of assets we are able to invest in foreign securities to 20%, from 10%, of statutory admitted assets. As a result, we began to increase our investments in high quality foreign securities and intend to continue to increase our foreign holdings during 2013.</w:t>
      </w:r>
    </w:p>
    <w:p>
      <w:pPr>
        <w:spacing w:after="0" w:line="143"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have contracted with professional investment advisers to invest our assets, other than our commercial mortgage portfolio, which is managed by our internal commercial mortgage loan department. White Mountains Advisors LLC, a related party, and its subadvisers manages the majority of our investment portfolio, including our fixed maturities, limited partnerships and real estate investment trusts (REITs). Our equity focused portfolio, composed primarily of common stock and convertible securities is managed by Prospector Partners, LLC, or Prospector.</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each of our asset intensive operating segments and for our unallocated surplus, we separate our investments into one or more distinct portfolios. Our investment strategy for each portfolio is based on the expected cash flow characteristics of the liabilities associated with the portfolio. The portfolio strategies are regularly monitored through a review of portfolio metrics, such as effective duration, yield curve sensitivity, convexity, liquidity, asset sector concentration and credit quality.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we purchase high quality assets to pursue the following investment strategies for our segments:</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Benefits. </w:t>
      </w:r>
      <w:r>
        <w:rPr>
          <w:rFonts w:ascii="Arial" w:cs="Arial" w:eastAsia="Arial" w:hAnsi="Arial"/>
          <w:sz w:val="18"/>
          <w:szCs w:val="18"/>
          <w:color w:val="auto"/>
        </w:rPr>
        <w:t>We invest in short duration fixed income corporate bonds and mortgage-backed securities.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Deferred Annuities. </w:t>
      </w:r>
      <w:r>
        <w:rPr>
          <w:rFonts w:ascii="Arial" w:cs="Arial" w:eastAsia="Arial" w:hAnsi="Arial"/>
          <w:sz w:val="18"/>
          <w:szCs w:val="18"/>
          <w:color w:val="auto"/>
        </w:rPr>
        <w:t>We invest in short to medium duration fixed income corporate bonds, mortgage-backed securities, commercial mortgage loans</w:t>
      </w:r>
      <w:r>
        <w:rPr>
          <w:rFonts w:ascii="Arial" w:cs="Arial" w:eastAsia="Arial" w:hAnsi="Arial"/>
          <w:sz w:val="18"/>
          <w:szCs w:val="18"/>
          <w:i w:val="1"/>
          <w:iCs w:val="1"/>
          <w:color w:val="auto"/>
        </w:rPr>
        <w:t xml:space="preserve"> </w:t>
      </w:r>
      <w:r>
        <w:rPr>
          <w:rFonts w:ascii="Arial" w:cs="Arial" w:eastAsia="Arial" w:hAnsi="Arial"/>
          <w:sz w:val="18"/>
          <w:szCs w:val="18"/>
          <w:color w:val="auto"/>
        </w:rPr>
        <w:t>and a modest amount of below investment grade bonds.</w:t>
      </w:r>
    </w:p>
    <w:p>
      <w:pPr>
        <w:spacing w:after="0" w:line="50"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Income Annuities. </w:t>
      </w:r>
      <w:r>
        <w:rPr>
          <w:rFonts w:ascii="Arial" w:cs="Arial" w:eastAsia="Arial" w:hAnsi="Arial"/>
          <w:sz w:val="18"/>
          <w:szCs w:val="18"/>
          <w:color w:val="auto"/>
        </w:rPr>
        <w:t>The Income Annuities segment has liability payments that extend well beyond 40 years. The majority of the segment’s portfolio is</w:t>
      </w:r>
      <w:r>
        <w:rPr>
          <w:rFonts w:ascii="Arial" w:cs="Arial" w:eastAsia="Arial" w:hAnsi="Arial"/>
          <w:sz w:val="18"/>
          <w:szCs w:val="18"/>
          <w:i w:val="1"/>
          <w:iCs w:val="1"/>
          <w:color w:val="auto"/>
        </w:rPr>
        <w:t xml:space="preserve"> </w:t>
      </w:r>
      <w:r>
        <w:rPr>
          <w:rFonts w:ascii="Arial" w:cs="Arial" w:eastAsia="Arial" w:hAnsi="Arial"/>
          <w:sz w:val="18"/>
          <w:szCs w:val="18"/>
          <w:color w:val="auto"/>
        </w:rPr>
        <w:t>invested in long duration fixed income corporate bonds, mortgage-backed securities and commercial mortgage loans, and a modest amount of below investment grade bonds. In addition, we invest in equities, including common stocks and REITs, to support a portion of the liability payments due more than 25–30 years in the future.</w:t>
      </w:r>
    </w:p>
    <w:p>
      <w:pPr>
        <w:spacing w:after="0" w:line="62"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Individual Life. </w:t>
      </w:r>
      <w:r>
        <w:rPr>
          <w:rFonts w:ascii="Arial" w:cs="Arial" w:eastAsia="Arial" w:hAnsi="Arial"/>
          <w:sz w:val="18"/>
          <w:szCs w:val="18"/>
          <w:color w:val="auto"/>
        </w:rPr>
        <w:t>We invest in medium to long duration fixed income corporate bonds, mortgage-backed securities, commercial mortgage loans and a</w:t>
      </w:r>
      <w:r>
        <w:rPr>
          <w:rFonts w:ascii="Arial" w:cs="Arial" w:eastAsia="Arial" w:hAnsi="Arial"/>
          <w:sz w:val="18"/>
          <w:szCs w:val="18"/>
          <w:i w:val="1"/>
          <w:iCs w:val="1"/>
          <w:color w:val="auto"/>
        </w:rPr>
        <w:t xml:space="preserve"> </w:t>
      </w:r>
      <w:r>
        <w:rPr>
          <w:rFonts w:ascii="Arial" w:cs="Arial" w:eastAsia="Arial" w:hAnsi="Arial"/>
          <w:sz w:val="18"/>
          <w:szCs w:val="18"/>
          <w:color w:val="auto"/>
        </w:rPr>
        <w:t>modest amount of below investment grade bonds.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We invest in short-to-long duration fixed income assets and equities, commercial mortgage loans, limited partnerships and a modest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below investment grade bonds.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exposed to four primary sources of investment risk:</w:t>
      </w:r>
    </w:p>
    <w:p>
      <w:pPr>
        <w:spacing w:after="0" w:line="90" w:lineRule="exact"/>
        <w:rPr>
          <w:sz w:val="20"/>
          <w:szCs w:val="20"/>
          <w:color w:val="auto"/>
        </w:rPr>
      </w:pPr>
    </w:p>
    <w:p>
      <w:pPr>
        <w:ind w:left="900" w:right="2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 risk relating to the continued ability of a given obligor or borrower to make timely payments of principal and interest, as well as risk</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us holding commercial real estate in the event of a mortgage loan foreclosure;</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Interest rate and credit spread risk </w:t>
      </w:r>
      <w:r>
        <w:rPr>
          <w:rFonts w:ascii="Arial" w:cs="Arial" w:eastAsia="Arial" w:hAnsi="Arial"/>
          <w:sz w:val="18"/>
          <w:szCs w:val="18"/>
          <w:color w:val="auto"/>
        </w:rPr>
        <w:t>— risk relating to the market price and/or cash flow variability associated with changes in market yield curves</w:t>
      </w:r>
      <w:r>
        <w:rPr>
          <w:rFonts w:ascii="Arial" w:cs="Arial" w:eastAsia="Arial" w:hAnsi="Arial"/>
          <w:sz w:val="18"/>
          <w:szCs w:val="18"/>
          <w:i w:val="1"/>
          <w:iCs w:val="1"/>
          <w:color w:val="auto"/>
        </w:rPr>
        <w:t xml:space="preserve"> </w:t>
      </w:r>
      <w:r>
        <w:rPr>
          <w:rFonts w:ascii="Arial" w:cs="Arial" w:eastAsia="Arial" w:hAnsi="Arial"/>
          <w:sz w:val="18"/>
          <w:szCs w:val="18"/>
          <w:color w:val="auto"/>
        </w:rPr>
        <w:t>and credit spreads;</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Illiquidity risk </w:t>
      </w:r>
      <w:r>
        <w:rPr>
          <w:rFonts w:ascii="Arial" w:cs="Arial" w:eastAsia="Arial" w:hAnsi="Arial"/>
          <w:sz w:val="18"/>
          <w:szCs w:val="18"/>
          <w:color w:val="auto"/>
        </w:rPr>
        <w:t>— risk relating to our ability to convert certain investments to cash, including commercial mortgage loans and private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which are relatively illiquid regardless of market conditions;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Equity risk </w:t>
      </w:r>
      <w:r>
        <w:rPr>
          <w:rFonts w:ascii="Arial" w:cs="Arial" w:eastAsia="Arial" w:hAnsi="Arial"/>
          <w:sz w:val="18"/>
          <w:szCs w:val="18"/>
          <w:color w:val="auto"/>
        </w:rPr>
        <w:t>— risk relating to adverse fluctuations in a particular common stock or equity markets in general.</w:t>
      </w:r>
    </w:p>
    <w:p>
      <w:pPr>
        <w:spacing w:after="0" w:line="171"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In addition, we hold a small portfolio of foreign-currency denominated investments, primarily consisting of $156.1 million of fixed maturities as of December 31, 2012. As we expand these holdings, our exposure to foreign currency risk, or the risk related to adverse fluctuations in foreign currency, may increase. We plan to continue to manage this risk through derivatives.</w:t>
      </w:r>
    </w:p>
    <w:p>
      <w:pPr>
        <w:spacing w:after="0" w:line="14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Our ability to manage investment risks while generating an appropriate investment return is essential to our business and our profitability. We manage credit risk by analyzing issuers, transaction structures and, for our commercial mortgage portfolio, real estate properties. We use analytic techniques to monitor credit risk. For example, we regularly measure the probability of credit default and estimated loss in the event of such a default, which provides us with early notification of worsening credit. If an issuer downgrade causes our holdings of that issuer to exceed our risk thresholds, we automatically undertake a detailed review of the issuer’s credit. We also manage credit risk through industry and issuer diversification. For commercial mortgage loans, we manage credit risk by analyzing the market value and revenue generating potential of the property, as well as the credit worthiness of the borrower and by using shorter amortization structures. We diversify our credit risk by both geographic location and property-type, and generally use personal recourse to further reduce our risk of loss. We routinely review the financial statements of our borrowers and the underlying properties.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mitigate interest rate risk through management of cash flow and duration matches between our assets and liabilities, seeking to reduce risk of realized loss in both rising and falling interest rate environments.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mitigate equity risk by limiting the size of our equity portfolio. We align our equity exposure in our Income Annuities segment to our long duration obligations. We review the ability of our capital base to absorb downside volatility without creating capital ratio stress and/or constraints on growth. We invest in relatively concentrated positions in the United States and other developed markets. The investments are identified using a bottom-up fundamental analysis and value-oriented investment approach.</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connection with certain products and investments, we use a variety of strategies to manage the associated risks, including the use of derivative instruments, primarily options, interest rate swaps and foreign currency swaps and forwards. We have established policies for managing each of these risks, including prohibitions on derivatives market-making and other speculative derivatives activities. See Note 2 of the consolidated financial statements for further discussion.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engage in the industry practice of reinsuring portions of our insurance risk with reinsurance companies through both automatic and facultative reinsurance agreements. In a reinsurance transaction, a reinsurer agrees to indemnify another insurer for part or all of its liability under a policy or policies it has issued for an agreed upon premium. We use reinsurance to diversify our risks and manage loss exposures primarily in our Benefits and Individual Life divisions, to write policies in amounts larger than the risk we are willing to retain, to improve our results by leveraging favorable reinsurance pricing and to provide additional capacity for future growth.</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cede insurance risk primarily on a treaty basis, under which risks are ceded to a reinsurer on specific books of business where the underlying risks meet certain predetermined criteria. To a lesser extent, we cede insurance risks on a facultative basis, under which the reinsurer’s prior approval is required on each risk reinsured. The use of reinsurance does not discharge us, as the insurer, from liability on the insurance ceded. We, as the insurer, are required to pay the full amount of our insurance obligations even in circumstances where we are entitled or able to receive payments from our reinsurer.</w:t>
      </w:r>
    </w:p>
    <w:p>
      <w:pPr>
        <w:spacing w:after="0" w:line="113"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We obtain reinsurance from a diverse group of reinsurers, and we monitor concentration and financial strength ratings of our principal reinsurers. We had reinsurance recoverables of $302.1 million and $295.6 million as of December 31, 2012 and 2011, respectively. As of December 31, 2012, our largest reinsurer, RGA Reinsurance Company, represented 39.6% of the overall recoverable, and had an A.M. Best rating of A+. Under various treaties, RGA reinsures the risk of a large loss on certain term life, universal life and medical stop-loss insurance policies, and provides reinsurance related to group life insurance products offered by our Benefits segment, including catastrophe coverage.</w:t>
      </w:r>
    </w:p>
    <w:p>
      <w:pPr>
        <w:spacing w:after="0" w:line="14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For more information regarding our risks in using reinsurance arrangements, see the discussion of our divisions and segments and Item 1A — “Risk Factors.” For more information regarding our reinsurance recoverable, see Note 10 to the consolidated financial statements,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and Technology</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 dedicated team of service and support personnel, as well as our outsourced I.T. infrastructure provider Xerox Business Services, LLC (or Xerox) (formerly Affiliated Computer Services, Inc.) that deliver information technology solutions to drive competitive advantages, achieve earnings growth objectives and control the cost of doing business. We mainly follow a buy-versus-build approach in providing application and business processing services that accelerate delivery and responsiveness. We also develop proprietary software for competitive or economic benefits.</w:t>
      </w:r>
    </w:p>
    <w:p>
      <w:pPr>
        <w:spacing w:after="0" w:line="11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Under the terms of our agreement with Xerox we may terminate our services prior to the July 2014 contract expiration date upon 90 days’ notice and payment of a $3.3 million termination fee. The termination fee declines over the life of the contract, and is pro-rated based upon the services that are terminated. See Note 14 to the consolidated financial statements for further discussion of this third-party service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Strength Ratings</w:t>
      </w:r>
    </w:p>
    <w:p>
      <w:pPr>
        <w:spacing w:after="0" w:line="96" w:lineRule="exact"/>
        <w:rPr>
          <w:sz w:val="20"/>
          <w:szCs w:val="20"/>
          <w:color w:val="auto"/>
        </w:rPr>
      </w:pPr>
    </w:p>
    <w:p>
      <w:pPr>
        <w:ind w:right="660" w:firstLine="456"/>
        <w:spacing w:after="0" w:line="256" w:lineRule="auto"/>
        <w:rPr>
          <w:sz w:val="20"/>
          <w:szCs w:val="20"/>
          <w:color w:val="auto"/>
        </w:rPr>
      </w:pPr>
      <w:r>
        <w:rPr>
          <w:rFonts w:ascii="Arial" w:cs="Arial" w:eastAsia="Arial" w:hAnsi="Arial"/>
          <w:sz w:val="18"/>
          <w:szCs w:val="18"/>
          <w:color w:val="auto"/>
        </w:rPr>
        <w:t>Rating organizations continually review the financial performance and condition of most insurers and provide financial strength ratings based on a company’s operating performance and ability to meet obligations to policyholders. Ratings provide both industry participants and insurance consumers meaningful information that is an important factor in establishing the competitive position of insurance companies. In addition, ratings are important to maintaining public confidence in us and our ability to market our products.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believe that our strong ratings are an important factor in marketing our products to our distributors and customers, since ratings information is broadly disseminated and generally used throughout the industry. Maintaining our ratings may require us to retain higher levels of capital and limit our ability to execute capital actions. Our ratings reflect each rating agency’s opinion of our financial strength, operating performance and ability to meet our obligations to policyholders and are not evaluations directed toward the protection of investors. Such ratings are neither a rating of securities nor a recommendation to buy, hold or sell any security, including our common stock.</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Symetra Financial Corporation and our principal life insurance subsidiaries, Symetra Life Insurance Company and First Symetra National Life Insurance Company of New York, are rated by A.M. Best; Standard and Poor’s (S&amp;P); Moody’s and Fitch as follows, as of December 31, 2012: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Strength Ratings</w:t>
            </w: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A.M. Best</w:t>
            </w:r>
          </w:p>
        </w:tc>
        <w:tc>
          <w:tcPr>
            <w:tcW w:w="8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S&amp;P</w:t>
            </w: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Moody’s</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Fitch</w:t>
            </w:r>
          </w:p>
        </w:tc>
        <w:tc>
          <w:tcPr>
            <w:tcW w:w="0" w:type="dxa"/>
            <w:vAlign w:val="bottom"/>
          </w:tcPr>
          <w:p>
            <w:pPr>
              <w:spacing w:after="0"/>
              <w:rPr>
                <w:sz w:val="1"/>
                <w:szCs w:val="1"/>
                <w:color w:val="auto"/>
              </w:rPr>
            </w:pPr>
          </w:p>
        </w:tc>
      </w:tr>
      <w:tr>
        <w:trPr>
          <w:trHeight w:val="188"/>
        </w:trPr>
        <w:tc>
          <w:tcPr>
            <w:tcW w:w="8240" w:type="dxa"/>
            <w:vAlign w:val="bottom"/>
            <w:gridSpan w:val="2"/>
            <w:vMerge w:val="continue"/>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ind w:left="440"/>
              <w:spacing w:after="0"/>
              <w:rPr>
                <w:sz w:val="20"/>
                <w:szCs w:val="20"/>
                <w:color w:val="auto"/>
              </w:rPr>
            </w:pPr>
            <w:r>
              <w:rPr>
                <w:rFonts w:ascii="Arial" w:cs="Arial" w:eastAsia="Arial" w:hAnsi="Arial"/>
                <w:sz w:val="18"/>
                <w:szCs w:val="18"/>
                <w:color w:val="auto"/>
              </w:rPr>
              <w:t>Symetra Life Insurance Company</w:t>
            </w:r>
          </w:p>
        </w:tc>
        <w:tc>
          <w:tcPr>
            <w:tcW w:w="100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A</w:t>
            </w:r>
          </w:p>
        </w:tc>
        <w:tc>
          <w:tcPr>
            <w:tcW w:w="800" w:type="dxa"/>
            <w:vAlign w:val="bottom"/>
            <w:gridSpan w:val="2"/>
          </w:tcPr>
          <w:p>
            <w:pPr>
              <w:jc w:val="center"/>
              <w:ind w:right="420"/>
              <w:spacing w:after="0"/>
              <w:rPr>
                <w:sz w:val="20"/>
                <w:szCs w:val="20"/>
                <w:color w:val="auto"/>
              </w:rPr>
            </w:pPr>
            <w:r>
              <w:rPr>
                <w:rFonts w:ascii="Arial" w:cs="Arial" w:eastAsia="Arial" w:hAnsi="Arial"/>
                <w:sz w:val="18"/>
                <w:szCs w:val="18"/>
                <w:color w:val="auto"/>
              </w:rPr>
              <w:t>A</w:t>
            </w:r>
          </w:p>
        </w:tc>
        <w:tc>
          <w:tcPr>
            <w:tcW w:w="94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A3</w:t>
            </w:r>
          </w:p>
        </w:tc>
        <w:tc>
          <w:tcPr>
            <w:tcW w:w="44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0"/>
        </w:trPr>
        <w:tc>
          <w:tcPr>
            <w:tcW w:w="8240" w:type="dxa"/>
            <w:vAlign w:val="bottom"/>
            <w:gridSpan w:val="2"/>
          </w:tcPr>
          <w:p>
            <w:pPr>
              <w:ind w:left="440"/>
              <w:spacing w:after="0"/>
              <w:rPr>
                <w:sz w:val="20"/>
                <w:szCs w:val="20"/>
                <w:color w:val="auto"/>
              </w:rPr>
            </w:pPr>
            <w:r>
              <w:rPr>
                <w:rFonts w:ascii="Arial" w:cs="Arial" w:eastAsia="Arial" w:hAnsi="Arial"/>
                <w:sz w:val="18"/>
                <w:szCs w:val="18"/>
                <w:color w:val="auto"/>
              </w:rPr>
              <w:t>First Symetra National Life Insurance Company of New York</w:t>
            </w:r>
          </w:p>
        </w:tc>
        <w:tc>
          <w:tcPr>
            <w:tcW w:w="100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A</w:t>
            </w:r>
          </w:p>
        </w:tc>
        <w:tc>
          <w:tcPr>
            <w:tcW w:w="800" w:type="dxa"/>
            <w:vAlign w:val="bottom"/>
            <w:gridSpan w:val="2"/>
          </w:tcPr>
          <w:p>
            <w:pPr>
              <w:jc w:val="center"/>
              <w:ind w:right="420"/>
              <w:spacing w:after="0"/>
              <w:rPr>
                <w:sz w:val="20"/>
                <w:szCs w:val="20"/>
                <w:color w:val="auto"/>
              </w:rPr>
            </w:pPr>
            <w:r>
              <w:rPr>
                <w:rFonts w:ascii="Arial" w:cs="Arial" w:eastAsia="Arial" w:hAnsi="Arial"/>
                <w:sz w:val="18"/>
                <w:szCs w:val="18"/>
                <w:color w:val="auto"/>
              </w:rPr>
              <w:t>A</w:t>
            </w:r>
          </w:p>
        </w:tc>
        <w:tc>
          <w:tcPr>
            <w:tcW w:w="940" w:type="dxa"/>
            <w:vAlign w:val="bottom"/>
            <w:gridSpan w:val="2"/>
          </w:tcPr>
          <w:p>
            <w:pPr>
              <w:jc w:val="center"/>
              <w:ind w:right="440"/>
              <w:spacing w:after="0"/>
              <w:rPr>
                <w:sz w:val="20"/>
                <w:szCs w:val="20"/>
                <w:color w:val="auto"/>
              </w:rPr>
            </w:pPr>
            <w:r>
              <w:rPr>
                <w:rFonts w:ascii="Arial" w:cs="Arial" w:eastAsia="Arial" w:hAnsi="Arial"/>
                <w:sz w:val="18"/>
                <w:szCs w:val="18"/>
                <w:color w:val="auto"/>
              </w:rPr>
              <w:t>NR*</w:t>
            </w:r>
          </w:p>
        </w:tc>
        <w:tc>
          <w:tcPr>
            <w:tcW w:w="44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2"/>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Issuer Credit/Default Ratings</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ind w:left="440"/>
              <w:spacing w:after="0"/>
              <w:rPr>
                <w:sz w:val="20"/>
                <w:szCs w:val="20"/>
                <w:color w:val="auto"/>
              </w:rPr>
            </w:pPr>
            <w:r>
              <w:rPr>
                <w:rFonts w:ascii="Arial" w:cs="Arial" w:eastAsia="Arial" w:hAnsi="Arial"/>
                <w:sz w:val="18"/>
                <w:szCs w:val="18"/>
                <w:color w:val="auto"/>
              </w:rPr>
              <w:t>Symetra Financial Corporation</w:t>
            </w:r>
          </w:p>
        </w:tc>
        <w:tc>
          <w:tcPr>
            <w:tcW w:w="100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bbb+</w:t>
            </w:r>
          </w:p>
        </w:tc>
        <w:tc>
          <w:tcPr>
            <w:tcW w:w="80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BBB</w:t>
            </w:r>
          </w:p>
        </w:tc>
        <w:tc>
          <w:tcPr>
            <w:tcW w:w="940" w:type="dxa"/>
            <w:vAlign w:val="bottom"/>
            <w:gridSpan w:val="2"/>
          </w:tcPr>
          <w:p>
            <w:pPr>
              <w:jc w:val="center"/>
              <w:ind w:right="420"/>
              <w:spacing w:after="0"/>
              <w:rPr>
                <w:sz w:val="20"/>
                <w:szCs w:val="20"/>
                <w:color w:val="auto"/>
              </w:rPr>
            </w:pPr>
            <w:r>
              <w:rPr>
                <w:rFonts w:ascii="Arial" w:cs="Arial" w:eastAsia="Arial" w:hAnsi="Arial"/>
                <w:sz w:val="18"/>
                <w:szCs w:val="18"/>
                <w:color w:val="auto"/>
                <w:w w:val="85"/>
              </w:rPr>
              <w:t>Baa3</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r>
        <w:trPr>
          <w:trHeight w:val="216"/>
        </w:trPr>
        <w:tc>
          <w:tcPr>
            <w:tcW w:w="8240" w:type="dxa"/>
            <w:vAlign w:val="bottom"/>
            <w:gridSpan w:val="2"/>
          </w:tcPr>
          <w:p>
            <w:pPr>
              <w:ind w:left="440"/>
              <w:spacing w:after="0"/>
              <w:rPr>
                <w:sz w:val="20"/>
                <w:szCs w:val="20"/>
                <w:color w:val="auto"/>
              </w:rPr>
            </w:pPr>
            <w:r>
              <w:rPr>
                <w:rFonts w:ascii="Arial" w:cs="Arial" w:eastAsia="Arial" w:hAnsi="Arial"/>
                <w:sz w:val="18"/>
                <w:szCs w:val="18"/>
                <w:color w:val="auto"/>
              </w:rPr>
              <w:t>Symetra Life Insurance Company</w:t>
            </w:r>
          </w:p>
        </w:tc>
        <w:tc>
          <w:tcPr>
            <w:tcW w:w="100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a+</w:t>
            </w:r>
          </w:p>
        </w:tc>
        <w:tc>
          <w:tcPr>
            <w:tcW w:w="800" w:type="dxa"/>
            <w:vAlign w:val="bottom"/>
            <w:gridSpan w:val="2"/>
          </w:tcPr>
          <w:p>
            <w:pPr>
              <w:jc w:val="center"/>
              <w:ind w:right="420"/>
              <w:spacing w:after="0"/>
              <w:rPr>
                <w:sz w:val="20"/>
                <w:szCs w:val="20"/>
                <w:color w:val="auto"/>
              </w:rPr>
            </w:pPr>
            <w:r>
              <w:rPr>
                <w:rFonts w:ascii="Arial" w:cs="Arial" w:eastAsia="Arial" w:hAnsi="Arial"/>
                <w:sz w:val="18"/>
                <w:szCs w:val="18"/>
                <w:color w:val="auto"/>
              </w:rPr>
              <w:t>A</w:t>
            </w:r>
          </w:p>
        </w:tc>
        <w:tc>
          <w:tcPr>
            <w:tcW w:w="940" w:type="dxa"/>
            <w:vAlign w:val="bottom"/>
            <w:gridSpan w:val="2"/>
          </w:tcPr>
          <w:p>
            <w:pPr>
              <w:jc w:val="center"/>
              <w:ind w:right="440"/>
              <w:spacing w:after="0"/>
              <w:rPr>
                <w:sz w:val="20"/>
                <w:szCs w:val="20"/>
                <w:color w:val="auto"/>
              </w:rPr>
            </w:pPr>
            <w:r>
              <w:rPr>
                <w:rFonts w:ascii="Arial" w:cs="Arial" w:eastAsia="Arial" w:hAnsi="Arial"/>
                <w:sz w:val="18"/>
                <w:szCs w:val="18"/>
                <w:color w:val="auto"/>
              </w:rPr>
              <w:t>NR*</w:t>
            </w:r>
          </w:p>
        </w:tc>
        <w:tc>
          <w:tcPr>
            <w:tcW w:w="440" w:type="dxa"/>
            <w:vAlign w:val="bottom"/>
          </w:tcPr>
          <w:p>
            <w:pPr>
              <w:jc w:val="center"/>
              <w:spacing w:after="0"/>
              <w:rPr>
                <w:sz w:val="20"/>
                <w:szCs w:val="20"/>
                <w:color w:val="auto"/>
              </w:rPr>
            </w:pPr>
            <w:r>
              <w:rPr>
                <w:rFonts w:ascii="Arial" w:cs="Arial" w:eastAsia="Arial" w:hAnsi="Arial"/>
                <w:sz w:val="18"/>
                <w:szCs w:val="18"/>
                <w:color w:val="auto"/>
                <w:w w:val="96"/>
              </w:rPr>
              <w:t>NR*</w:t>
            </w:r>
          </w:p>
        </w:tc>
        <w:tc>
          <w:tcPr>
            <w:tcW w:w="0" w:type="dxa"/>
            <w:vAlign w:val="bottom"/>
          </w:tcPr>
          <w:p>
            <w:pPr>
              <w:spacing w:after="0"/>
              <w:rPr>
                <w:sz w:val="1"/>
                <w:szCs w:val="1"/>
                <w:color w:val="auto"/>
              </w:rPr>
            </w:pPr>
          </w:p>
        </w:tc>
      </w:tr>
      <w:tr>
        <w:trPr>
          <w:trHeight w:val="222"/>
        </w:trPr>
        <w:tc>
          <w:tcPr>
            <w:tcW w:w="8240" w:type="dxa"/>
            <w:vAlign w:val="bottom"/>
            <w:gridSpan w:val="2"/>
          </w:tcPr>
          <w:p>
            <w:pPr>
              <w:ind w:left="440"/>
              <w:spacing w:after="0"/>
              <w:rPr>
                <w:sz w:val="20"/>
                <w:szCs w:val="20"/>
                <w:color w:val="auto"/>
              </w:rPr>
            </w:pPr>
            <w:r>
              <w:rPr>
                <w:rFonts w:ascii="Arial" w:cs="Arial" w:eastAsia="Arial" w:hAnsi="Arial"/>
                <w:sz w:val="18"/>
                <w:szCs w:val="18"/>
                <w:color w:val="auto"/>
              </w:rPr>
              <w:t>First Symetra National Life Insurance Company of New York</w:t>
            </w:r>
          </w:p>
        </w:tc>
        <w:tc>
          <w:tcPr>
            <w:tcW w:w="100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a+</w:t>
            </w:r>
          </w:p>
        </w:tc>
        <w:tc>
          <w:tcPr>
            <w:tcW w:w="800" w:type="dxa"/>
            <w:vAlign w:val="bottom"/>
            <w:gridSpan w:val="2"/>
          </w:tcPr>
          <w:p>
            <w:pPr>
              <w:jc w:val="center"/>
              <w:ind w:right="420"/>
              <w:spacing w:after="0"/>
              <w:rPr>
                <w:sz w:val="20"/>
                <w:szCs w:val="20"/>
                <w:color w:val="auto"/>
              </w:rPr>
            </w:pPr>
            <w:r>
              <w:rPr>
                <w:rFonts w:ascii="Arial" w:cs="Arial" w:eastAsia="Arial" w:hAnsi="Arial"/>
                <w:sz w:val="18"/>
                <w:szCs w:val="18"/>
                <w:color w:val="auto"/>
              </w:rPr>
              <w:t>A</w:t>
            </w:r>
          </w:p>
        </w:tc>
        <w:tc>
          <w:tcPr>
            <w:tcW w:w="940" w:type="dxa"/>
            <w:vAlign w:val="bottom"/>
            <w:gridSpan w:val="2"/>
          </w:tcPr>
          <w:p>
            <w:pPr>
              <w:jc w:val="center"/>
              <w:ind w:right="440"/>
              <w:spacing w:after="0"/>
              <w:rPr>
                <w:sz w:val="20"/>
                <w:szCs w:val="20"/>
                <w:color w:val="auto"/>
              </w:rPr>
            </w:pPr>
            <w:r>
              <w:rPr>
                <w:rFonts w:ascii="Arial" w:cs="Arial" w:eastAsia="Arial" w:hAnsi="Arial"/>
                <w:sz w:val="18"/>
                <w:szCs w:val="18"/>
                <w:color w:val="auto"/>
              </w:rPr>
              <w:t>NR*</w:t>
            </w:r>
          </w:p>
        </w:tc>
        <w:tc>
          <w:tcPr>
            <w:tcW w:w="440" w:type="dxa"/>
            <w:vAlign w:val="bottom"/>
          </w:tcPr>
          <w:p>
            <w:pPr>
              <w:jc w:val="center"/>
              <w:spacing w:after="0"/>
              <w:rPr>
                <w:sz w:val="20"/>
                <w:szCs w:val="20"/>
                <w:color w:val="auto"/>
              </w:rPr>
            </w:pPr>
            <w:r>
              <w:rPr>
                <w:rFonts w:ascii="Arial" w:cs="Arial" w:eastAsia="Arial" w:hAnsi="Arial"/>
                <w:sz w:val="18"/>
                <w:szCs w:val="18"/>
                <w:color w:val="auto"/>
                <w:w w:val="96"/>
              </w:rPr>
              <w:t>NR*</w:t>
            </w:r>
          </w:p>
        </w:tc>
        <w:tc>
          <w:tcPr>
            <w:tcW w:w="0" w:type="dxa"/>
            <w:vAlign w:val="bottom"/>
          </w:tcPr>
          <w:p>
            <w:pPr>
              <w:spacing w:after="0"/>
              <w:rPr>
                <w:sz w:val="1"/>
                <w:szCs w:val="1"/>
                <w:color w:val="auto"/>
              </w:rPr>
            </w:pPr>
          </w:p>
        </w:tc>
      </w:tr>
      <w:tr>
        <w:trPr>
          <w:trHeight w:val="110"/>
        </w:trPr>
        <w:tc>
          <w:tcPr>
            <w:tcW w:w="1160" w:type="dxa"/>
            <w:vAlign w:val="bottom"/>
            <w:tcBorders>
              <w:bottom w:val="single" w:sz="8" w:color="auto"/>
            </w:tcBorders>
          </w:tcPr>
          <w:p>
            <w:pPr>
              <w:spacing w:after="0"/>
              <w:rPr>
                <w:sz w:val="9"/>
                <w:szCs w:val="9"/>
                <w:color w:val="auto"/>
              </w:rPr>
            </w:pPr>
          </w:p>
        </w:tc>
        <w:tc>
          <w:tcPr>
            <w:tcW w:w="7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8240" w:type="dxa"/>
            <w:vAlign w:val="bottom"/>
            <w:gridSpan w:val="2"/>
          </w:tcPr>
          <w:p>
            <w:pPr>
              <w:spacing w:after="0"/>
              <w:rPr>
                <w:sz w:val="20"/>
                <w:szCs w:val="20"/>
                <w:color w:val="auto"/>
              </w:rPr>
            </w:pPr>
            <w:r>
              <w:rPr>
                <w:rFonts w:ascii="Arial" w:cs="Arial" w:eastAsia="Arial" w:hAnsi="Arial"/>
                <w:sz w:val="18"/>
                <w:szCs w:val="18"/>
                <w:color w:val="auto"/>
              </w:rPr>
              <w:t>*  “NR” indicates not rated</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A.M. Best states that its “A” (Excellent) financial strength rating is assigned to those companies that have, in its opinion, an excellent ability to meet their ongoing obligations to policyholders. The “A” (Excellent) is the third highest of 16 ratings assigned by A.M. Best, which range from “A++” to “S.” A.M. Best describes its “a” issuer credit rating for insurers as “excellent,” assigned to those companies that have, in its opinion, a strong ability to meet the terms of their ongoing senior financial obligations. Its “bbb” issuer credit rating is described as “good,” assigned to those companies that have, in its opinion, an adequate ability to meet the terms of their obligations but are more susceptible to changes in economic or other conditions. A.M. Best issuer credit ratings range from “aaa” (exceptional) to “rs” (regulatory supervision/liquidation) and may be enhanced with a “+” (plus) or “-” (minus) to indicate whether credit quality is near the top or bottom of a category.</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Symetra Life Insurance Company and First Symetra National Life Insurance Company of New York’s Financial Size Category, or FSC, rankings, as determined by A.M. Best, are both XV, the highest of 15 rankings. A.M. Best indicates that the FSC is designed to provide an indicator of the size of a company in terms of its statutory surplus and related accounts.</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Standard &amp; Poor’s states that an insurer with a financial strength rating of “A” (Strong) has strong financial security characteristics that outweigh any vulnerabilities, and is highly likely to have the ability to meet financial commitments, but is somewhat more likely to be affected by adverse business conditions than are insurers with higher ratings. The “A” range is the third highest of the four ratings ranges that meet these criteria, and also is the third highest of nine financial strength ratings ranges assigned by S&amp;P, which range from “AAA” to “R.” A plus (+) or minus (-) shows relative standing in a rating category. Accordingly, the “A’ rating is the sixth highest of S&amp;P’s 21 ratings categories. S&amp;P issuer credit ratings range from “AAA” to “D,” indicating default. S&amp;P</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describes companies assigned an “A” issuer credit rating as having a strong capacity to meet financial commitments, but somewhat more susceptible to the adverse effects of changes in circumstances and economic conditions than higher-rated companies. Companies assigned a “BBB” issuer credit rating have adequate capacity to meet financial commitments, but adverse economic conditions are more likely to lead to a weakened capacity to meet such commitments.</w:t>
      </w:r>
    </w:p>
    <w:p>
      <w:pPr>
        <w:spacing w:after="0" w:line="8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Moody’s Investors Service states that insurance companies rated “A3” (Good) offer good financial security. However, elements may be present that suggest a susceptibility to impairment sometime in the future. The “A” range is the third highest of nine financial strength rating ranges assigned by Moody’s which range from “Aaa” to “C.” Numeric modifiers are used to refer to the ranking within the group, with “1” being the highest and “3” being the lowest. Accordingly, the “A3” rating is the seventh highest of Moody’s 21 ratings categories. Moody’s credit rating is assigned to our senior debt. A rating of “Baa” is defined as subject to moderate credit risk, considered medium-grade, and may possess certain speculative characteristics.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Fitch states that insurance companies with a financial strength rating of “A+” (Strong) are viewed as possessing strong capacity to meet policyholder and contract obligations. Risk factors are moderate, and the impact of any adverse business and economic factors is expected to be small. The “A” rating category is the third highest of nine financial strength categories, which range from “AAA” to “C.” The symbol (+) or (-) may be appended to a rating to indicate the relative position of a credit within a rating category. These suffixes are not added to ratings in the “AAA” category or to ratings below the “CCC” category. Accordingly, the “A+” rating is the fifth highest of Fitch’s 21 financial strength ratings categories. Fitch issuer default ratings range from “AAA” (highest credit quality) to “D” (default). Fitch describes its “A–” issuer default rating as “high credit quality,” which denotes an expectation of low default risk, but may be more vulnerable to adverse business or economic conditions than higher ratings.</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A.M. Best, S&amp;P, Moody’s and Fitch review their ratings periodically and we cannot provide assurance that we will maintain our current ratings in the future. Other agencies may rate Symetra or our insurance subsidiaries on a solicited or unsolicited 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Our insurance operations are subject to a wide variety of laws and regulations. State insurance laws and regulations govern most aspects of our insurance businesses, and our insurance subsidiaries are regulated by the insurance departments of the states in which they are domiciled and licensed. Our insurance products, and thus our businesses, also are affected by federal, state and local tax laws. We are also subject to state regulation with respect to laws and public policies governing unclaimed property, which includes unclaimed death benefits on life and annuity policies. Variable annuity contracts and variable life insurance contracts (“variable contracts”) issued by our insurance subsidiaries are securities and unless offered pursuant to an exemption, are registered as such under the Securities Act of 1933 (the “1933 Act”). As a result, the Securities and Exchange Commission (SEC) regulates their offer and sale. In addition, most such variable contracts are issued through separate accounts that are registered as investment companies under the Investment Company Act of 1940 (the “1940 Act”) and our broker-dealers that underwrite or sell the contracts are registered under the Securities Exchange Act of 1934 (the “1934 Act”). The SEC regulates both registered investment companies and broker-dealers and the Financial Industry Regulatory Authority, Inc. (FINRA) also regulates our broker-dealers (and indirectly the offer and sale of our variable contracts).</w:t>
      </w:r>
    </w:p>
    <w:p>
      <w:pPr>
        <w:spacing w:after="0" w:line="12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purpose of the laws and regulations affecting our insurance and securities businesses is primarily to protect our customers and not our noteholders or stockholders. Many of the laws and regulations to which we are subject are regularly re-examined, and existing or future laws and regulations may become more restrictive or otherwise adversely affect our operations. In addition, insurance and securities regulatory authorities make inquiries of us regarding compliance with insurance, securities and other laws and regulations. We cooperate with such inquiries and take corrective action when warranted.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Many of our customers and agents are also sensitive to changes in regulations that may affect their ability or desire to purchase or distribute our products.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Regulation</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insurance subsidiaries are licensed and regulated in all states in which they conduct insurance business and all forms and rates are filed for approval in states where required. The extent of this regulation varies, but most states have laws and regulations governing the financial condition of insurers, including standards of solvency, types and concentration of investments, establishment and maintenance of reserves, credit for reinsurance and requirements of capital adequacy, and the business conduct of insurers, including marketing and sales practices and claims handling. State insurance departments monitor our market conduct by examining our policies, procedures and practices from time to time through market conduct examinations and/or market analysis. Similarly, claims handling policies, procedures and practices are monitored by the states through claims examinations. In addition, statutes and regulations usually require the licensing of insurers and their agents, the approval of policy forms and related materials and the approval of rates for certain lines of insurance. The types of insurance laws and regulations applicable to us or our insurance subsidiaries are described below.</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Holding Company Regulation</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All states in which our insurance subsidiaries conduct insurance business have enacted legislation that requires each insurance company in a holding company system, except captive insurance companies, to register with the insurance regulatory authority of its state of domicile and to furnish that regulatory authority financial and other information concerning the operations of, and the interrelationships and transactions among, companies within its holding company system that may materially affect the operations, management or financial condition of the insurers within the system. These laws and regulations also regulate transactions between insurance companies and their parents and affiliates. Generally, these laws and regulations require that all transactions within a holding company system between an insurer and its affiliates be fair and reasonable and that the insurer’s statutory surplus following any transaction with an affiliate be both reasonable in relation to its outstanding liabilities and adequate in relation to its financial needs. Statutory surplus is the excess of admitted assets over statutory liabilities. See Note 17 to the consolidated financial statements for further discussion of statutory-basis information. For certain types of agreements and transactions between an insurer and its affiliates, these laws and regulations require prior notification to, and approval or non-disapproval by, the insurance regulatory authority of the insurer’s state of domicile.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Forms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insurance subsidiaries’ policy forms are subject to regulation in every state in which such policies are offered. In most states, policy forms must be filed (and, in most cases, approved) prior to their use.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Limitations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holding company with no significant business operations of its own, Symetra depends on dividends or other distributions from its subsidiaries as the principal source of cash to meet its obligations, including the payment of interest on and repayment of principal of any debt obligations and payment of dividends to stockholders and stock repurchases. The payment of dividends or other distributions to Symetra by its insurance subsidiaries is regulated by the insurance laws and regulations of their respective states of domicile. In the state of Washington, the state of domicile of Symetra’s principal insurance subsidiary, Symetra Life Insurance Company, an insurance company subsidiary may not pay an “extraordinary” dividend or distribution until 30 days after the insurance commissioner has received sufficient notice of the intended payment and has approved or not objected to the payment within the 30-day period. An “extraordinary” dividend or distribution is defined under Washington law as a dividend or distribution that, together with other dividends and distributions made within the preceding twelve months, exceeds the greater of:</w:t>
      </w:r>
    </w:p>
    <w:p>
      <w:pPr>
        <w:spacing w:after="0" w:line="37"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 of the insurer’s statutory surplus as of the immediately prior year end;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statutory net gain from the insurer’s operations for the prior year.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State laws and regulations also prohibit an insurer from declaring or paying a dividend except out of its statutory surplus or require the insurer to obtain regulatory approval before it may do so. In addition, insurance regulators may prohibit the payment of ordinary dividends or other payments by our insurance subsidiaries to Symetra (such as a payment under a tax sharing agreement or for employee or other services) if they determine that such payment could be adverse to policyholders or contract 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Examinations</w:t>
      </w:r>
    </w:p>
    <w:p>
      <w:pPr>
        <w:spacing w:after="0" w:line="90" w:lineRule="exact"/>
        <w:rPr>
          <w:sz w:val="20"/>
          <w:szCs w:val="20"/>
          <w:color w:val="auto"/>
        </w:rPr>
      </w:pPr>
    </w:p>
    <w:p>
      <w:pPr>
        <w:ind w:right="340" w:firstLine="456"/>
        <w:spacing w:after="0" w:line="323" w:lineRule="auto"/>
        <w:rPr>
          <w:sz w:val="20"/>
          <w:szCs w:val="20"/>
          <w:color w:val="auto"/>
        </w:rPr>
      </w:pPr>
      <w:r>
        <w:rPr>
          <w:rFonts w:ascii="Arial" w:cs="Arial" w:eastAsia="Arial" w:hAnsi="Arial"/>
          <w:sz w:val="15"/>
          <w:szCs w:val="15"/>
          <w:color w:val="auto"/>
        </w:rPr>
        <w:t>As part of their regulatory oversight process, state insurance departments conduct periodic detailed examinations of the books, records, accounts and business practices of insurers domiciled in their jurisdictions. These examinations generally are conducted in cooperation with the insurance departments of several other states under guidelines promulgated by the National Association of Insurance Commissioners (NAIC). During the three-year period ended December 31, 2012, we have not received any material adverse findings resulting from any insurance department examinations of our insurance subsidiaries.</w:t>
      </w:r>
    </w:p>
    <w:p>
      <w:pPr>
        <w:spacing w:after="0" w:line="9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February 2012, the Office of Insurance Commissioner of the state of Washington certified routine financial examination reports of our two Washington-domiciled insurance companies which covered the five-year period ending December 31, 2010. There were no examination adjustments noted in the reports and no materially adverse findings or instructions in the reports. In 2011, New York State Department of Financial Services began a routine full scope market conduct and financial examination of our New York domiciled insurance company for the three-year period ending December 31, 2010. A final report of this routine examination has not been received.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Conduct Regulation</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part of their oversight process, state insurance departments also conduct periodic detailed examinations of market conduct practices of insurance companies selling life insurance and annuity contracts in their jurisdictions. These examinations cover marketplace activities of life insurers, including the form and content of advertising and other disclosures to consumers, product illustrations, suitability determinations, replacement of contracts and other sales practices, underwriting practices, handling of complaints and claims handling and processing practices. Often market conduct examinations are focused on a single or a few practices that are of particular interest to state insurance departments. Market conduct examinations may be conducted by one state insurance department, or by departments of several states acting jointly.</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late 2012, Symetra received notice from the California Department of Insurance that the department was initiating a market conduct examination of Symetra’s life insurance companies, focused on their life insurance and annuity claims settlement practices, including practices related to the handling of unclaimed property. The California Department has indicated that it is conducting this examination on behalf of itself and several other states, including the State of Washington. The start date of this examination has not yet been determined.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Guaranty Associations and Similar Arrangements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Most states require life insurers that write insurance within the state to participate in guaranty associations, which are organized to pay contractual benefits owed pursuant to insurance policies of insurers who become impaired or insolvent. In the event of an insolvency, these associations levy assessments, up to prescribed limits, on all member insurers in a particular state on the basis of the proportionate share of the premiums written by member insurers in the lines of business in which the impaired, insolvent or failed insurer is engaged. Some states permit member insurers to recover assessments paid through full or partial premium tax offsets.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9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laws and regulations of the states in which our insurance subsidiaries are domiciled require that a person obtain the approval of the insurance commissioner of the insurance company’s jurisdiction of domicile prior to acquiring control of the insurer. Generally, such laws provide that control over an insurer is presumed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exist if any person, directly or indirectly, owns, controls, holds with the power to vote, or holds proxies representing 10% or more of the voting securities of the insurer. These laws may discourage potential acquisition proposals and may delay, deter or prevent a change of control involving us, including through transactions, and in particular unsolicited transactions, that some or all of our stockholders might consider to be desirable.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and Contract Reserve Sufficiency Analysis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the laws and regulations of their states of domicile, our life insurance subsidiaries are required to conduct annual analyses of the sufficiency of their life and health insurance and annuity statutory reserves. In addition, other jurisdictions in which these subsidiaries are licensed may have certain reserve requirements that differ from those of their domiciliary jurisdictions. In each case, a qualified actuary must submit an opinion that states that the aggregate statutory reserves, when considered in light of the assets held with respect to such reserves, make good and sufficient provision for the associated contractual obligations and related expenses of the insurer. If such an opinion cannot be provided, the affected insurer must set up additional reserves by moving funds from surplus. Our life insurance subsidiaries submit these opinions annually to applicable insurance regulatory authorities. For further information on the results of our 2012 statutory reserve adequacy analysis, see Item 7 — “Management’s Discussion and Analysis of Financial Condition and Results of Operations — Liquidity and Capital Resources.”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Surplus and Capital Requirements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Insurance regulators have the discretionary authority, in connection with the ongoing licensing of our insurance subsidiaries, to limit or prohibit the ability of an insurer to issue new policies if, in the regulators’ judgment, the insurer is not maintaining a minimum amount of surplus or is in hazardous financial condition. Insurance regulators may also limit the ability of an insurer to issue new life insurance policies and annuity contracts above an amount based upon the face amount and premiums of policies of a similar type issued in the prior year. We do not believe that the current or anticipated levels of statutory surplus of our insurance subsidiaries present a material risk that any such regulator would limit the amount of new policies that our insurance subsidiaries may issue.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Risk-based Capital</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NAIC has established risk-based capital standards for life insurance companies as well as a model act with the intention that these standards be applied at the state level. The model act provides that life insurance companies must submit an annual risk-based capital report to state regulators reporting their risk-based capital based upon four categories of risk: asset risk, insurance risk, interest rate risk and business risk. For each category, the capital requirement is determined by applying factors to various asset, premium and reserve items, with the factor being higher for those items with greater underlying risk and lower for less risky items. The formula is intended to be used by insurance regulators as an early warning tool to identify possible weakly capitalized companies for purposes of initiating further regulatory action.</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an insurer’s risk-based capital falls below specified levels, the insurer would be subject to different degrees of regulatory action depending upon the level. These actions range from requiring the insurer to propose actions to correct the capital deficiency to placing the insurer under regulatory control. As of December 31, 2012, the risk-based capital of each of our life insurance subsidiaries exceeded the level of risk-based capital that would require any of them to take or become subject to any corrective action. As of December 31, 2012, Symetra Life Insurance Company, our primary life insurance subsidiary, had a risk-based capital ratio of 486%, which exceeded the minimum RBC requirements of 200%.</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Accounting Principles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Statutory accounting principles (SAP) is a basis of accounting developed by state insurance regulators to monitor and regulate the solvency of insurance companies. In developing SAP, insurance regulators were primarily concerned with assuring an insurer’s ability to pay all of its current and future obligations to policyholders. As a result, statutory accounting focuses on conservatively valuing the assets and liabilities of insurers, generally in accordance with standards specified by the insurer’s domiciliary state. Uniform statutory accounting practices are established by the NAIC and generally adopted by regulators in the various states. These accounting principles and related regulations determine, among other things, the amounts our insurance subsidiaries may pay to us as dividends. The values for assets, liabilities and equity reflected in financial statements prepared in accordance with U.S. GAAP will generally be different from those reflected in financial statements prepared under SAP.</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Investments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Each of our insurance subsidiaries is subject to laws and regulations that require diversification of its investment portfolio and limit the amount of investments in certain asset categories, such as below investment grade fixed maturities, foreign securities, real estate, equity investments and derivatives. Failure to comply with these laws and regulations would cause investments exceeding regulatory limitations to be treated as non-admitted assets for purposes of measuring surplus, and, in some instances, would require divestiture of such non-complying investments. We believe the investments held by our insurance subsidiaries comply with these laws and regulations. In addition, related laws and regulations addressing insolvency of life insurance companies also may indirectly limit Symetra Life Insurance Company’s ability to invest assets in certain types of derivative contracts.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Regulation of Insurance</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Currently, the federal government does not regulate directly the business of insurance. However, the Dodd-Frank Act created a Federal Insurance Office. While the Federal Insurance Office will not directly regulate domestic insurance business, it is tasked with studying the potential efficiency and consequences of federal insurance regulation.</w:t>
      </w:r>
    </w:p>
    <w:p>
      <w:pPr>
        <w:spacing w:after="0" w:line="14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Although the federal government does not comprehensively regulate the business of insurance, federal legislation and administrative policies in several other areas, including taxation, privacy regulation, financial services regulation, securities and pension and welfare benefits regulation, can also significantly affect the insurance industry.</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From time to time, federal measures are proposed that may significantly affect the insurance business, including direct federal regulation of insurance through an optional federal charter, limitations on antitrust immunity, tax incentives for lifetime annuity payouts, simplification bills affecting tax-advantaged or tax exempt savings and retirement vehicles, and the federal estate tax. Likewise, there exists uncertainties relating to the proposals and rules that have been written and yet to be written by various federal agencies as part of the implementation of the Dodd-Frank Act and PPACA, including the delegation of enforcement authority to the states for PPACA’s health care reforms as applied to health insurers. We cannot predict whether these or other proposals or rules will be adopted, or what impact, if any, such proposals or rules may have on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Unclaimed Property Laws</w:t>
      </w:r>
    </w:p>
    <w:p>
      <w:pPr>
        <w:spacing w:after="0" w:line="9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are subject to the laws and regulations of states and other jurisdictions concerning the identification, reporting and escheatment of abandoned or unclaimed money or property. From time to time, the treasurers or controllers of various states and other jurisdictions, or their revenue departments, conduct audits of companies’ unclaimed property practices, including those of life insurance companies.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late 2012, Symetra received notice that a private contractor would conduct such an audit of its three life insurance companies, on behalf of the treasurers, controllers, or revenue departments of several states. We anticipate that this audit will seek to identify death benefits and other payments under life insurance and annuity contracts that have not yet been paid to beneficiaries, in order to determine whether such benefits should be escheated to the states in which deceased owners resided. As of February 2013, approximately 29 states are participating in the audit.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Laws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Existing federal laws and regulations provide favorable tax treatment to many insurance products we offer. Congress, from time to time, considers legislation that could make our products less attractive to consumers, including legislation that would reduce or eliminate the benefits derived from the tax advantages within life insurance and annuity products. Although the recent compromise legislation, the American Taxpayer Relief Act of 2012, that was enacted in early 2013 largely preserves the favorable tax treatment of our insurance products, we expect that large federal deficits and debt may continue to put pressure on Congress to raise revenue. If existing federal laws and regulations are revised to reduce this favorable tax treatment or to increase the tax-deferred status of competing products, we, along with other life insurance companies, will be adversely affected with respect to our ability to sell such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Laws and Regulations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Regulation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Certain of our subsidiaries are subject to various levels of regulation under the federal securities laws administered by the SEC. Variable contracts issued by our life insurance subsidiaries are securities. Most are registered under the 1933 Act and are fully subject to the 1933 Act and rules thereunder. Other variable contracts are sold in non-public offerings in reliance on an exemption from the registration requirements of the 1933 Act, but are subject to its anti-fraud provisions. One of our broker-dealer subsidiaries serves as principal underwriter of the variable contracts and is regulated by the SEC under the 1934 Act and rules thereunder as well as by FINRA under its rules. Another subsidiary is a full service broker-dealer that is likewise subject to SEC and FINRA regulation. Various state and local regulators also may regulate our broker-dealers. The registered representatives of both broker-dealers are regulated by the SEC and FINRA and are also subject to applicable state and local laws. Our business partners in the sale and distribution of variable contracts and other securities are likewise regulated by these laws and regulations (e.g., unaffiliated broker-dealers that have selling agreements with our broker-dealers).</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Certain separate accounts of our life insurance subsidiaries through which variable contracts are issued, as well as the Symetra Mutual Funds Trusts established in May 2012 in connection with the True VA product, are registered with the SEC as investment companies under the 1940 Act. Both the 1940 Act and the Investment Advisers Act of 1940 (the “Advisers Act”) impose a complex and rigorous regulatory regime on investment companies and investment advisers. Certain separate accounts of our life insurance subsidiaries through which variable contracts not registered under the 1933 Act are issued, are not registered as investment companies in reliance upon exclusions from the definition of an investment company found in the 1940 Act. Nevertheless, certain provisions of the 1940 Act apply to such separate accounts. Our recently formed investment adviser is registered with the SEC under the Advisers Act, as is our full service broker-dealer. Certain employees of our investment advisers are licensed as advisory representatives in states where those employees have clients and are subject to regulation by those states.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laws and regulations identified above are subject to change, which may affect our subsidiaries, employees and business partners subject to them. The last several years have seen changes in these laws and regulations and we anticipate such changes will continue. Interpreting new laws and regulations, and obtaining timely guidance about them from the applicable regulator, are often challenging. Maintaining compliance in this environment is a constant challenge and the risk of an inadvertent error or omission is ever-present. Consistent with this, our costs to maintain compliance with these laws and regulations continues to increase.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laws and regulations identified above are primarily intended to protect investors in the securities markets and generally grant the SEC and other regulators broad administrative powers, including the power to limit or restrict the conduct of business for failure to comply with such laws and regulations. In the event of failure by our subsidiaries, employees and business partners to comply, possible sanctions that regulators may impose include: (1) censures or fines of our life insurance companies, broker-dealers or investment advisers; (2) suspension or limitation of sales of our products; (3) suspension of individual employees or agents; (4) limitations on the activities in which our investment advisers or broker-dealers may engage; (5) suspension or revocation of registration or licenses of our broker-dealers or investment advisers; and (6) public disclosure of our failure to comply which may damage our reputation (or that of our business partners) and/or encourage private litigation.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Retirement Income Security Act and Internal Revenue Code Considerations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provide certain products and services to certain employee benefits plans that are subject to the Employee Retirement Income Security Act (ERISA) or the Internal Revenue Code. As such, our activities are subject to the restrictions imposed by ERISA and the Internal Revenue Code, including the requirement under ERISA that fiduciaries must perform their duties solely in the interests of ERISA plan participants and beneficiaries and the requirement under ERISA and the Internal Revenue Code that fiduciaries may not cause a covered plan to engage in certain prohibited transactions with persons who have certain relationships with respect to such plans. The applicable provisions of ERISA and the Internal Revenue Code are subject to enforcement by the U.S. Department of Labor, the IRS and the Pension Benefit Guaranty Corporation.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of Consumer Information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U.S. federal and state laws and regulations require financial institutions, including insurance companies, to protect the security and confidentiality of consumer financial information and to notify consumers about their policies and practices relating to their collection and disclosure of consumer information and their policies relating to protecting the security and confidentiality of that information. Similarly, federal and state laws and regulations also govern the disclosure and security of consumer health information. In particular, regulations promulgated by the U.S. Department of Health and Human Services regulate the disclosure and use of protected health information by health insurers and others, the physical and procedural safeguards employed to protect the security of that information and the electronic transmission of such information. Congress and state legislatures from time-to-time consider additional legislation relating to privacy and other aspects of consumer information. Violation of these consumer privacy laws could result in significant penalties and adverse regulatory 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2012, we had approximately 1,250 full-time and part-time employees. We believe our employee relations are satisfactory.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Symetra’s annual reports on Form 10-K, quarterly reports on Form 10-Q, current reports on Form 8-K and amendments to those reports are available free of charge on Symetra’s Investor Relations website, which can be accessed at </w:t>
      </w:r>
      <w:r>
        <w:rPr>
          <w:rFonts w:ascii="Arial" w:cs="Arial" w:eastAsia="Arial" w:hAnsi="Arial"/>
          <w:sz w:val="16"/>
          <w:szCs w:val="16"/>
          <w:u w:val="single" w:color="auto"/>
          <w:color w:val="auto"/>
        </w:rPr>
        <w:t>www.symetra.com</w:t>
      </w:r>
      <w:r>
        <w:rPr>
          <w:rFonts w:ascii="Arial" w:cs="Arial" w:eastAsia="Arial" w:hAnsi="Arial"/>
          <w:sz w:val="16"/>
          <w:szCs w:val="16"/>
          <w:color w:val="auto"/>
        </w:rPr>
        <w:t>, as soon as reasonably practicable after such material is electronically filed with, or furnished to, the SEC. Additionally, copies of Symetra’s annual report will be made available, free of charge, upon written request.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Fluctuations in interest rates and interest rate spreads could impact sales, profitability or cash flows of interest-rate sensitive products.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Certain of our insurance and investment products, such as annuities and universal life insurance, are sensitive to interest rate fluctuations. Changes in interest rates may make our products less attractive to customers seeking higher yields, which could adversely impact our sales or trigger increased surrenders and withdrawals. For example, when the initial guaranteed interest rate period for fixed annuity products expires, we may significantly decrease renewal crediting rates below the initial rates, which may impact our ability to obtain and retain business. Fluctuations in interest rates may also reduce the interest spread, or the difference between the returns we earn on the investments that support our obligations and the amounts that we must credit to policyholders and contract holders, which could adversely impact the profitability of those products and therefore our results of operations. We mitigate the risks related to fluctuations in interest rates by employing asset-to-liability matching strategies to help ensure that cash flows are available to pay claims as they become due. However, these strategies may fail to eliminate or reduce the adverse effects of interest rate volatility. For example, on our immediate annuities we are unable to reduce contractually guaranteed payments and a decline in the investment returns on assets supporting this business would reduce our interest spread. Reductions in expected profitability or increased surrenders and withdrawals may require us to accelerate amortization of associated deferred policy acquisition costs (DAC), and deferred sales inducements (DSI), balances, further decreasing our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Prolonged periods of low interest rates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Prolonged periods of low interest rates may have a negative impact on our ability to sell products that are dependent on interest earnings, such as fixed annuity and universal life products, as consumers look for other high-yielding investment vehicles to fund retirement. In low interest rate environments, such as we’ve experienced during the past few years and which we expect to continue to experience for the foreseeable future, it is difficult to offer attractive rates and benefits to customers while maintaining profitability, which may limit sales growth of interest sensitive products.</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Sustained declines in interest may subject us to lower returns on our invested assets, and we may have to reinvest the cash we receive as interest or return of principal on our investments in lower yielding instruments. This may reduce our future net investment income and compress the spread on interest-rate sensitive products. Further, borrowers may prepay fixed maturity securities and commercial mortgage loans in order to borrow at lower market rates. Any related prepayment fees are recorded in net investment income and may create income statement volatility. This risk is exacerbated by guaranteed minimum crediting rates established by our contracts and/or regulatory authorities, and restrictions on the timing and frequency with which we can adjust our crediting rates. Our interest rate spreads vary by product. By comparing the unadjusted interest spreads to the interest spreads adjusted to remove the effect of prepayments the following table illustrates the volatility investment prepayments can have on our fixed annuity spreads:</w:t>
      </w:r>
    </w:p>
    <w:p>
      <w:pPr>
        <w:spacing w:after="0" w:line="15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5"/>
              </w:rPr>
              <w:t>For the Year Ended December 31,</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2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16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2011</w:t>
            </w:r>
          </w:p>
        </w:tc>
        <w:tc>
          <w:tcPr>
            <w:tcW w:w="900" w:type="dxa"/>
            <w:vAlign w:val="bottom"/>
          </w:tcPr>
          <w:p>
            <w:pPr>
              <w:spacing w:after="0"/>
              <w:rPr>
                <w:sz w:val="12"/>
                <w:szCs w:val="12"/>
                <w:color w:val="auto"/>
              </w:rPr>
            </w:pPr>
          </w:p>
        </w:tc>
        <w:tc>
          <w:tcPr>
            <w:tcW w:w="48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r>
      <w:tr>
        <w:trPr>
          <w:trHeight w:val="196"/>
        </w:trPr>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Fixed Annuities:</w:t>
            </w: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Interest spread (1)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1.94%</w:t>
            </w:r>
          </w:p>
        </w:tc>
        <w:tc>
          <w:tcPr>
            <w:tcW w:w="2060" w:type="dxa"/>
            <w:vAlign w:val="bottom"/>
            <w:gridSpan w:val="3"/>
          </w:tcPr>
          <w:p>
            <w:pPr>
              <w:jc w:val="right"/>
              <w:ind w:right="760"/>
              <w:spacing w:after="0"/>
              <w:rPr>
                <w:sz w:val="20"/>
                <w:szCs w:val="20"/>
                <w:color w:val="auto"/>
              </w:rPr>
            </w:pPr>
            <w:r>
              <w:rPr>
                <w:rFonts w:ascii="Arial" w:cs="Arial" w:eastAsia="Arial" w:hAnsi="Arial"/>
                <w:sz w:val="18"/>
                <w:szCs w:val="18"/>
                <w:color w:val="auto"/>
              </w:rPr>
              <w:t>1.94%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Base interest spread (2)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20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1.82%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spread is the difference between the net investment yield and the credited rate to policyholders. The net investment yield is the approximate yield on invested assets in the general account attributed to the segment. The credited rate is the approximate rate credited on policyholder fixed account values. Interest credited is subject to contractual terms, including minimum guarantees.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hanging="452"/>
        <w:spacing w:after="0" w:line="306"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 interest spread is the interest spread adjusted to exclude items that can vary significantly from period to period due to a number of factors and, therefore, may contribute to yields that are not indicative of the underlying trends. This is primarily the impact of asset prepayments, such as bond make whole premiums, the MBS prepayment speed adjustment, and deferred sales inducement unlocking.</w:t>
      </w:r>
    </w:p>
    <w:p>
      <w:pPr>
        <w:spacing w:after="0" w:line="10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addition to our fixed annuities, the performance of our long-term income annuities and BOLI products is also sensitive to the investment yields on our invested assets backing such products. In extreme situations, the investment yield earned could be lower than the credited rates guaranteed to the customers. We may not be able to successfully manage interest rate spreads or the potential negative impact of those risks.</w:t>
      </w:r>
    </w:p>
    <w:p>
      <w:pPr>
        <w:spacing w:after="0" w:line="107"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Our term life insurance products also expose us to the risk of interest rate fluctuations. The pricing and expected future profitability of these products are based in part on expected investment returns. Over time, term life insurance products generally produce positive cash flows as customers pay periodic premiums, which we invest as received. Lower than expected interest rates may reduce our ability to achieve our targeted investment margins on these products.</w:t>
      </w:r>
    </w:p>
    <w:p>
      <w:pPr>
        <w:spacing w:after="0" w:line="88"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We mitigate some of the aforementioned risks by reducing guaranteed minimum crediting rates offered on new business and, for our deferred annuity products, lowering up-front commissions. However, sustained low interest rates may require us to suspend offerings of certain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of rising interest rates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also subject to risks associated with periods of rising interest rates. During such times, we may offer higher crediting rates on new sales of interest-sensitive products and increase crediting rates on existing in force products to maintain or enhance product competitiveness. We may not be able to purchase enough higher yielding assets necessary to fund higher crediting rates and maintain our desired spread, which could result in lower profitability on our in force business. In rising interest rate environments, especially when interest rates are rapidly rising, it may be difficult to position our products to offer attractive rates and benefits to customers while maintaining profitability, which may limit sales growth of interest sensitive products. In order to maintain sales growth of interest sensitive products and retain in-force customers, we may offer higher renewal crediting rates which would impact profitability.</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periods of rising interest rates may cause increased policy surrenders, withdrawals and requests for policy loans on deferred annuity and BOLI products, as policyholders and contract holders seek investments with higher returns, referred to as disintermediation. This may lead to net cash outflows and the resulting liquidity demands may require us to sell investment assets when the prices of those assets are adversely affected by the increase in interest rates, which may result in realized investment losses. Further, a portion of our investment portfolio consists of commercial mortgage loans and privately placed securities, which are relatively illiquid, thus increasing our liquidity risk in the event of disintermediation. We may also be required to accelerate the amortization of DAC and DSI related to surrendered contracts, which would adversely affect our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yield curves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Shifts in the relationship between short- and long-term interest rates, or yield curve, can also impact our ability to sell our products, particularly fixed annuities. When the yield curve is relatively flat or negatively sloped (i.e., high short-term rates as compared to long-term rates), customers can receive similar crediting rates on competing products, such as certificates of deposit, which have shorter required investment periods. Customers may be more likely to choose those competing products than our annuities, which tend to be longer term in nature.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investment portfolio is subject to various interest rates, credit and liquidity risks that may diminish the value of our invested assets, reduce investment returns and/or erode capital.</w:t>
      </w:r>
    </w:p>
    <w:p>
      <w:pPr>
        <w:spacing w:after="0" w:line="5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performance of our investment portfolio depends in part upon the level of and changes in interest rates and credit spreads, the overall performance of the economy, the creditworthiness of the specific obligors included in our portfolio, equity prices, real estate values, liquidity and other factors, most of which are beyond our control. These factors could materially affect our investment results in any period and/or erode capital. As of December 31, 2012, our total investments were $27.6 billion, of which $23.5 billion were fixed maturities. Our fixed maturities portfolio generated net investment income of $1,122.5 million and $1,151.9 million, and realized gains of $1.5 million and $24.2 million for the years ended December 31, 2012 and 2011,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and credit spread risk</w:t>
      </w:r>
    </w:p>
    <w:p>
      <w:pPr>
        <w:spacing w:after="0" w:line="9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Interest rates and credit spreads are highly sensitive to many factors, including governmental monetary policies, general investor sentiment, domestic and international economic and political conditions and other factors beyond our control. Fluctuations in interest rates may cause actual net investment income or cash flows to differ from those originally anticipated for investments that carry prepayment and extension risk, such as mortgage-backed and other securities with embedded call options. In periods of declining interest rates, prepayments generally increase. Mortgage-backed securities, commercial mortgage obligations and other bonds in our investment portfolio may be prepaid or redeemed as borrowers seek to borrow at lower interest rates. If unanticipated, such prepayments may require us to accelerate amortization on investments purchased at a premium, which could decrease our net investment income. Additionally, we may be required to reinvest those funds in lower interest-bearing investments. Such prepayments may also include prepayment fees and penalties recorded as income in the period of prepayment which could create income volatility. We received prepayment-related income of $24.8 million and $23.0 million in 2012 and 2011, respectively.</w:t>
      </w:r>
    </w:p>
    <w:p>
      <w:pPr>
        <w:spacing w:after="0" w:line="10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There are various U.S. government initiatives through the Making Home Affordable program that may result in higher than expected prepayments on our RMBS portfolio. For example, changes to HARP (Home Affordable Refinance Program) that went into effect in late 2011, have been effective in increasing refinancing for certain borrowers. Additionally, the extension of HAMP (Home Affordable Modification Program) through 2013 may impact prepayments. We continually monitor the underlying collateral in our RMBS to manage our prepayment exposure. As of December 31, 2012, we held $3,007.8 million in residential mortgage-backed securities, including gross unamortized premiums of $53.4 million. An increase in prepayments could significantly accelerate our premium amortization and result in asset reinvestment at lower interest rates.</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include an estimate of future principal prepayments in the calculation of effective yields for mortgage-backed securities. Differences between the actual and estimated timing of the principal prepayments impact our investment income and may reduce our overall interest rate spread. As prepayments increase in periods of declining interest rates, premium amortization accelerates because the expected life of the asset is shortened. In periods of rising interest rates, prepayments generally slow, and discount amortization slows because the expected life of the asset is extended. These changes in amortization may adversely affect our investment income.</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addition, net investment income realized by us from future investments in fixed maturity securities will generally increase or decrease in step with interest rates and credit spreads. In periods of low interest rates, such as we experienced in 2012 and during the last several years, we may be challenged to find attractive yields on new investments. In 2012 and 2011, we mitigated this risk by increasing our originations of commercial mortgage loans, which generally provide higher yields, but are less liquid than fixed maturities securities. However, we may be unable to continue to find appropriate loan opportunities meeting our high quality standards.</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fair value of our fixed maturities generally increases or decreases in an inverse relationship with changes in interest rates and credit spreads. Because all of our fixed maturities are classified as available-for-sale, changes in the fair value of these securities are reflected as a component of comprehensive income. A rise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interest rates may cause the fair value of our fixed maturity securities to decline, particularly for our long-duration investments supporting our Income Annuities reserves. Declines in fair value may decrease unrealized gains or result in unrealized losses recorded in accumulated other comprehensive income (AOCI), and decrease our stockholders’ equity. Further, U.S. GAAP does not require similar fair value accounting treatment for the insurance liabilities that the fixed maturities support. Therefore, changes in the fair value of our fixed maturities caused by interest rate fluctuations are not offset in whole or in part by similar adjustments to the fair value of our insurance liabilities on the balance sheet.</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mitigate the risks related to fluctuations in interest rates and credit spreads by employing asset-to-liability matching strategies to help ensure that cash flows are available to pay claims as they become due. However, these strategies may fail to eliminate or reduce the adverse effects of interest rate and credit spread volatility.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Issuers of the fixed maturities we own may default on principal and interest payments. Defaults by third parties in the payment or performance of their obligations could reduce our investment income or cause realized investment losses. Further, fixed maturities are evaluated for impairment based on our assumptions about the creditworthiness of the issuer. For the years ended December 31, 2012 and 2011, we incurred $29.0 million and $14.1 million in impairments on fixed maturities, respectively. A significant increase in defaults and impairments on our fixed maturities portfolio could adversely affect our financial condition, results of operations and cash flows. The determination of impairments is subject to management’s judgment about the creditworthiness and continued cash flows of a security. While we have controls and procedures in place to provide reasonable assurance that our impairment analysis is complete and based on accurate information, actual cash flows and defaults may vary significantly from our assumptions.</w:t>
      </w:r>
    </w:p>
    <w:p>
      <w:pPr>
        <w:spacing w:after="0" w:line="11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 of December 31, 2012, 5.4% of our total fixed maturity portfolio at fair value was considered below investment grade. Below investment grade securities generally provide higher expected returns but present greater risk and can be less liquid than investment grade securities. Further, an issuer’s inability to refinance or pay off debt could cause certain of our investment-grade maturities to present more significant credit risk than when we first invested. Private equity and highly leveraged buyouts could also cause certain of our investment-grade fixed maturities to present more significant credit risk than when we first invested.</w:t>
      </w:r>
    </w:p>
    <w:p>
      <w:pPr>
        <w:spacing w:after="0" w:line="9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Issuers of the fixed maturities that we own may experience performance deterioration or other factors that trigger rating agency downgrades. Although the issuers may not have defaulted on principal and interest payments with respect to these securities, we may be required by regulators and rating agencies to hold more capital in support of these investments. We could experience higher cost of capital and potential constraints on our ability to grow our business and maintain our own ratings.</w:t>
      </w:r>
    </w:p>
    <w:p>
      <w:pPr>
        <w:spacing w:after="0" w:line="14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For further information on our fixed maturities portfolio and credit-related impairments, see Item 7 — “Management’s Discussion and Analysis of Financial Condition and Results of Operations — Investments.”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Our investments in privately placed fixed maturities, mortgage loans, policy loans and limited partnership interests, which collectively represented approximately 15% of total invested assets as of December 31, 2012, are relatively illiquid compared to publicly traded fixed maturities and equities. In addition, periods of market disruption, such as those experienced during the financial crisis in 2008 and 2009, could also reduce liquidity for securities generally considered to be readily marketable. If we require significant amounts of cash on short notice in excess of our normal cash requirements, we may have difficulty selling these investments in a timely manner, be forced to sell them for less than we otherwise would have been able to realize, or both. This risk is mitigated by the liquidity structure of our underlying liabilities, of which 79.7% are considered illiquid or somewhat illiquid. For further information on the liquidity of our underlying liabilities, see Item 7 — “Management’s Discussion and Analysis of Financial Condition and Results of Operations — Liquidity and Capital Resources.”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our efforts to execute on our strategies to reduce our dependence on interest-rate sensitive products.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2011 our executive leadership team introduced its Grow &amp; Diversify business strategy that focused on developing new products that are less sensitive to interest rates. During 2012 we devoted significant effort and financial resources to build new products, distribution and service capabilities. We experienced increased sales of our fixed indexed annuity and group life and disability income products; however, individual life and variable annuity sales fell short of expectations. We may incur higher-than-expected costs or fail to generate expected levels of revenue associated with this strategy.</w:t>
      </w:r>
    </w:p>
    <w:p>
      <w:pPr>
        <w:spacing w:after="0" w:line="113"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We aim to continue implementing our strategies while maintaining current positions of strength in our existing businesses, particularly our medical stop-loss and deferred annuity businesses, as well as maintaining the strength of our balance sheet. Our success will depend on a number of factors, including our ability to achieve customer name recognition, accurately predict market trends, differentiate our product offerings from our competitors’, provide excellent customer service, develop new products in a timely manner and achieve market acceptance, effectively implement new technology and operational platforms, deepen our existing distribution relationships and add new distribution partners and set appropriate prices for our products. If we fail to accomplish one, all or a combination of the foregoing, our ability to profitably grow our business during this period of prolonged low interest rates could be materially and adversely affected.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engage in strategic acquisitions or other related transactions which present risks that could adversely affect our business.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and continue to seek profitable growth through acquisitions opportunities. We believe that our disciplined approach to strategic acquisitions, particularly related to our Benefits and Individual Life divisions, will allow us to realize economies of scale and certain operating efficiencies. Any acquisitions or investments will include risks commonly encountered in acquisitions of businesses, including:</w:t>
      </w:r>
    </w:p>
    <w:p>
      <w:pPr>
        <w:spacing w:after="0" w:line="59"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failing to achieve the financial and strategic goals for the acquired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failing to successfully integrate the acquired business into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paying more than fair market value for an acquired company or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experiencing an unanticipated downgrade in our financial strength ratings;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disrupting our ongoing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distracting management focus from our ongoing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acquiring unanticipated liabilities;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failing to retain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incurring the expense of an impairment of assets due to the failure to realize expected benefits;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damaging relationships with employees, customers or strategic partners;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diluting the share value of existing stockholders.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Additionally, in connection with any acquisition that involves reinsurance, we will assume or otherwise become responsible for the obligations of policies and other liabilities of other insurers. Any regulatory, legal, financial, or other adverse development affecting these other insurers could also have an adverse effect on us.</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exploration of acquisition opportunities requires a significant investment of time from our senior leadership team, and may require significant legal, consulting, financial and accounting expenses for due diligence. We may not complete acquisitions that we explore, or incur higher than expected costs to complete an acquisition. For example, in 2012, expenses related to such due diligence efforts resulted in a decrease to net income of approximately $0.02 per common diluted share for opportunities that did not materialize.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increase or maintain sales through independent sales intermediaries and dedicated sales specialists.</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distribute our products through financial intermediaries, independent producers and dedicated sales specialists. We compete with other financial institutions to attract and retain commercial relationships in each of these channels, and our success in competing for sales through these sales intermediaries depends upon factors such as:</w:t>
      </w:r>
    </w:p>
    <w:p>
      <w:pPr>
        <w:spacing w:after="0" w:line="59"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of sales commissions and fees we pay;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breadth of our product offerings;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 and positioning of our product offerings;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amounts of or adjustments we make in premium or interest crediting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strength of our brand and consumer name recognition, as well as reputation;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perceived stability and our financial strength ratings;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marketing and services we provide to them and our customers;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strength of the relationships we maintain with individuals at those firms.</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Through time our relationship with distributors may deteriorate due to any of the above factors, which could result in a drop in sales and/or a loss of existing business due to higher surrender activity.</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competitors may be effective in providing incentives to existing and potential distribution partners to favor their products or to reduce sales of our products. Our contracts with our distribution partners generally allow either party to terminate the relationship upon short notice. Our distribution partners do not make minimum purchase commitments, and our contracts do not prohibit our partners from offering products that compete with ours. Accordingly, our distribution partners may choose not to offer our products exclusively or at all, or may choose to exert insufficient resources and attention to selling our products. In 2012 sales from our top five distribution partners in our Deferred Annuities and Benefits segments represented 60% and 28%, respectively, of each segment’s total sales. In addition, sales from one financial institution accounted for 29% of our 2012 Deferred Annuities segment sales. If our relationships with these distributors were to deteriorate, it is likely that we would experience a significant decline in our sales. For further discussion on our sales and distribution, see Item 1 — “Business — Distribution.”</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Turbulent economic conditions may also impair our distribution partners, which would have an adverse impact on our sales. Further, consolidation of financial institutions could increase competition for access to distributors, result in greater distribution expenses, and impair our ability to market our products to our current customer base or to expand our customer base.</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From time to time, due to competitive forces, we may also experience unusually high employee attrition in particular sales channels for specific products. An inability to recruit productive independent sales intermediaries and dedicated sales specialists, or our inability to retain strong relationships with the individual agents at our independent sales intermediaries, could have an adverse effect on our financial condition, results of operations and cash flows.</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future success is highly dependent on maintaining and growing both existing and new distribution relationships. We may have little or no contact or brand awareness with end customers of our products, which makes it more difficult to respond to evolving customer needs and increases our reliance on our distribution partners.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Defaults in our commercial mortgage loans may adversely affect our profitability.</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mortgage loans, which are collateralized by commercial properties, are subject to default risk. The Company seeks to mitigate the risks inherent in its loan portfolio by adhering to specific underwriting practices. Our underwriting practice includes the analysis of a borrower’s prior credit history, financial statements, tax returns and cash flow projections; valuation of collateral; personal guarantees of loans; and verification of liquid assets. During 2010, we began strategically increasing our mortgage loan portfolio, which continued through 2012. For the years ended December 31, 2012 and 2011, we originated $825.7 million and $956.9 million, respectively, of new loans. Our mortgage loan portfolio totaled $3.1 billion and $2.5 billion as of December 31, 2012 and 2011, respectively. We carry our mortgage loans at outstanding principal balances, adjusted for unamortized deferred fees and costs, net of an allowance for loan losses. Our allowance includes a reserve for probable incurred but not specifically identified losses in the portfolio, and specific reserves for any non-performing loans. The reserve for probable incurred losses is based on our historical experience, third party data for expected losses on loans with similar loan-to-value, and debt service coverage ratios. Specific reserves are determined by comparing the carrying value of the loan to the expected future cash flows, discounted at the loan’s effective interest rate, or the fair value of the underlying collateral, if the loan is collateral-dependent. If our underwriting practices fail to capture accurate information or proves to be inadequate, we may incur losses, and those losses may exceed the amounts set aside as reserves.</w:t>
      </w:r>
    </w:p>
    <w:p>
      <w:pPr>
        <w:spacing w:after="0" w:line="12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December 31, 2012, one loan with an outstanding principal balance of $3.7 was classified as non-performing. However, due to the uncertain economic environment and the growth in our portfolio, the performance of our mortgage loan portfolio may decline in the future. In addition, the majority of our loans have balloon payment maturities, which may trigger future defaults on currently performing loans. An increase in the default rate of our mortgage loan investments, caused by current or worsening economic conditions or otherwise, could result in realized losses or increases in our allowance for credit losses and could have a material adverse effect on our business, results of operations and financial condition.</w:t>
      </w:r>
    </w:p>
    <w:p>
      <w:pPr>
        <w:spacing w:after="0" w:line="116"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Further, any geographic concentration of our commercial mortgage loans may expose us to higher risk of adverse effects. While we seek to mitigate this risk by having a diversified portfolio, events or developments negatively impacting any particular geographic region may have a greater adverse effect on our loan portfolio and, consequently, on our results of operations or financial condition. As of December 31, 2012, 28.4% of our commercial mortgage loans were located in California, primarily in the Los Angeles area, 11.3% were located in Texas and 10.0% were located in Washington.</w:t>
      </w:r>
    </w:p>
    <w:p>
      <w:pPr>
        <w:spacing w:after="0" w:line="113" w:lineRule="exact"/>
        <w:rPr>
          <w:sz w:val="20"/>
          <w:szCs w:val="20"/>
          <w:color w:val="auto"/>
        </w:rPr>
      </w:pPr>
    </w:p>
    <w:p>
      <w:pPr>
        <w:jc w:val="both"/>
        <w:ind w:right="200" w:firstLine="456"/>
        <w:spacing w:after="0" w:line="268" w:lineRule="auto"/>
        <w:rPr>
          <w:sz w:val="20"/>
          <w:szCs w:val="20"/>
          <w:color w:val="auto"/>
        </w:rPr>
      </w:pPr>
      <w:r>
        <w:rPr>
          <w:rFonts w:ascii="Arial" w:cs="Arial" w:eastAsia="Arial" w:hAnsi="Arial"/>
          <w:sz w:val="18"/>
          <w:szCs w:val="18"/>
          <w:color w:val="auto"/>
        </w:rPr>
        <w:t>For additional information on our mortgage loan portfolio, see Note 5 to the consolidated financial statements and Item 7 — “Management’s Discussion and Analysis of Financial Condition and Results of Operations — Investments — Mortgage Loans.”</w:t>
      </w:r>
    </w:p>
    <w:p>
      <w:pPr>
        <w:spacing w:after="0" w:line="21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Gross unrealized losses on fixed maturity and equity securities may become realized or result in future impairments, resulting in a reduction in our net income.</w:t>
      </w:r>
    </w:p>
    <w:p>
      <w:pPr>
        <w:spacing w:after="0" w:line="51"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Fixed maturity and equity securities classified as available-for-sale are reported at their estimated fair value and compose a significant portion of our total assets. Liquidity needs, portfolio rebalancing, or other reasons may require us to sell these securities prior to maturity, or credit concerns could prompt us to conclude that a decline in fair value is other-than-temporary. The resulting realized losses or impairments may have a material adverse effect on our net income.</w:t>
      </w:r>
    </w:p>
    <w:p>
      <w:pPr>
        <w:spacing w:after="0" w:line="8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Unrealized gains or losses on available-for-sale securities are recognized as a component of AOCI and are therefore excluded from net income. The accumulated change in the fair value of these available-for-sale securities is recognized in net income when the gain or loss is realized upon the sale of the security or in the event that the decline in estimated fair value is determined to be other-than-temporary and an impairment charge is taken. Our gross unrealized losses on available-for-sale fixed maturity and equity securities as of December 31, 2012 were $59.1 million. Gross unrealized losses for fixed maturity and equity securities where the fair value has declined and remained below amortized cost or cost by 20% or more for six months or more was $21.7 million as of December 31, 2012.</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b w:val="1"/>
          <w:bCs w:val="1"/>
          <w:i w:val="1"/>
          <w:iCs w:val="1"/>
          <w:color w:val="auto"/>
        </w:rPr>
        <w:t>Our valuation of fixed maturity securities may include methodologies, estimations and assumptions that are subject to differing interpretations and could result in changes to investment valuations that may materially adversely affect our results of operations or financial condition.</w:t>
      </w:r>
    </w:p>
    <w:p>
      <w:pPr>
        <w:spacing w:after="0" w:line="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Fixed maturities are reported at fair value on our consolidated balance sheets and represent approximately 85.4% of our invested assets as of December 31, 2012. The accounting guidance for fair value measurements establishes a three-level hierarchy that gives the highest priority to quoted prices in active markets for identical assets or liabilities (Level 1) and the lowest priority to valuation models using unobservable inputs (Level 3). Level 2 and Level 3 measurements comprise a significant portion of our invested assets; as of December 31, 2012, approximately $23.4 billion, or 99%, of our fixed maturities were categorized as Level 2 measurements, and $0.1 billion, or 1%, were categorized as Level 3. Because values for securities classified as Level 2 and Level 3 are not based on quoted market prices for identical instruments, the amount we realize upon settlement or maturity may differ significantly from our reported fair value. Additionally, multiple valuation methods may be applicable to a security, and the use of different methodologies and assumptions could materially affect the estimated fair value amounts. Decreases in valuations may result in unrealized losses recorded in stockholders’ equity or realized losses recorded in net income, which may have an adverse effect on our financial condition and results of operations.</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Level 2 measurements are predominantly obtained from third-party independent pricing services and derived from models that use objectively verifiable, observable market inputs, such as benchmark yields, reported trades, broker-dealer quotes, issuer spreads, two-sided markets, benchmark securities, bids, offers and other reference data, including market research publications. Because many fixed maturity securities do not trade on a daily basis, evaluated pricing models apply available information through processes such as benchmark curves, benchmarking of like securities, sector groupings and matrix pricing. If such information about a security is unavailable, we determine the fair value using internal pricing models that typically utilize significant, unobservable market inputs or inputs that are difficult to corroborate with observable market data.</w:t>
      </w:r>
    </w:p>
    <w:p>
      <w:pPr>
        <w:spacing w:after="0" w:line="12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As of December 31, 2012, $819.6 million, or 3.5%, of our fixed maturities portfolio was invested in private placement securities, which are not actively traded. The fair values of $787.3 million, or 96.1%, of these assets are classified as Level 2, as they are determined using a discounted cash flow approach that uses significant inputs that are market-observable.</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periods of market disruption, including periods of significantly rising interest rates, rapidly widening credit spreads or illiquidity, it may be difficult to value certain securities if trading becomes less frequent and/or market data becomes less observable. There may be certain asset classes that were in active markets with significant observable data that become illiquid due to the financial environment. In such cases, valuations for those securities may require more subjectivity and management judgment, including valuation methods, inputs and assumptions that are less observable or require greater estimation. Rapidly changing and adverse credit and equity market conditions could also materially impact the valuation of securities reported in our consolidated financial statements, and the period-to-period changes in value could vary significantly.</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To mitigate these risks, we use established, industry-standard valuation models consistently from period-to-period. For more information on our valuation methodology for invested assets, see Note 6 to the consolidated financial statements and Item 7 — “Management’s Discussion and Analysis of Financial Condition and Results of Operations — Critical Accounting Policies and Estimates — Assets at Fair Value.”</w:t>
      </w:r>
    </w:p>
    <w:p>
      <w:pPr>
        <w:spacing w:after="0" w:line="10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Additionally, our investment management objective is to support the expected cash flows of our liabilities and to produce stable returns over the long term; thus, we typically hold our fixed maturities until maturity or until market conditions are favorable for the sale of such investments.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Downturns and volatility in equity markets could adversely affect our profitability.</w:t>
      </w:r>
    </w:p>
    <w:p>
      <w:pPr>
        <w:spacing w:after="0" w:line="9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We recognize changes in fair value of our investments in certain common stock, including REITs or other equity-like securities, in net income through net realized investment gains (losses). These investments, which generally provide higher expected total returns over the long term, present a greater risk to preservation of principal than our fixed maturity investments. As of December 31, 2012, less than three percent of our invested assets were invested in securities whose changes in fair value are typically highly correlated with changes in the equity markets. While these investments do not represent a significant portion of our invested assets, a decline in the equity markets could have a significant adverse effect on our net income, and also increase volatility in results between periods. For example, for the year ended December 31, 2012, net gains on our equity securities trading portfolio were $36.7 million, consistent with improvements in the equity markets that year. In the previous year, ending December 31, 2011, net losses on our equity securities trading portfolio were $9.1 million, as equity market performance was not as strong. In another example, we invest in real estate-related investments through investments in REITs. For the year ended December 31, 2012, our REITs provided a total gross return of 13.6%. However, during 2012, we experienced volatility in our quarterly results including total gross gains of 7.5% for the first quarter, and 0.3% for the third quarter.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derivative financial instruments to manage risk may not be effective or sufficient.</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use derivative financial instruments to mitigate various business and investment risks to which we are exposed, including exposures related to our FIA product, foreign currency exposures, adverse effects of equity market levels and volatility and interest rate fluctuations on variable rate fixed maturities. If our counterparties fail or refuse to honor their obligations under the derivative instruments, our hedges of the related risk will be ineffective. This failure could have an adverse effect on our financial condition and results of operations. See Note 2 to the consolidated financial statements for further discussion of our derivatives and related accounting policies.</w:t>
      </w:r>
    </w:p>
    <w:p>
      <w:pPr>
        <w:spacing w:after="0" w:line="143"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We may also choose not to hedge, in whole or in part, these or other risks that we have identified, due to, for example, the availability and/or cost of a suitable derivative financial instrument or, in reaction to extreme interest rate or equity market conditions, a decision to not purchase a derivative financial instrument that fully hedges certain risks. Additionally, our estimates and assumptions made in connection with our use of any derivative financial instrument may fail to reflect or correspond to our actual long-term exposure in respect to identified risks. Derivative financial instruments held or purchased may also be insufficient to hedge the risks in relation to our obligations. In addition, we may fail to identify risks, or the magnitude thereof, to which we are exposed.</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Dodd-Frank Act includes a new framework of regulation of over-the-counter (“OTC”) derivative transactions that requires parties to such transactions to enter into agreements that provide for, among other things, each party’s right to accelerate, terminate, and close out positions on a “net” basis and liquidate or set off collateral upon an event of default, including bankruptcy or insolvency, of the other party. Such agreements, including the “netting” requirement, must be enforceable under the law of the relevant jurisdiction. Two of our life insurance subsidiaries, including our principal life insurance subsidiary, are domiciled in the State of Washington, where current law would permit a receiver for an insolvent insurance company to avoid the “netting” requirement in OTC derivative agreements entered into by the insolvent insurer. There is legislation pending in the Washington legislature that would implement model NAIC legislation that mandates enforcement of such “netting” provisions in the event of insurer insolvency. If the legislation is not enacted, our Washington life insurance subsidiaries will face challenges in entering into derivatives transactions with major financial institutions. In such an event, we will explore other options, including redomesticating one or both of our Washington life insurance companies to a jurisdiction that has enacted this legislation. Under the agreements required by the Dodd-Frank Act, we may be unable to place derivative trades at a reasonable cost, or at all. If we are unable to engage in derivative transactions at a reasonable cost, we may not be able to continue to issue certain insurance products, including fixed indexed annuities, or otherwise effectively manage other risks, such as interest rate or currency risk.</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the Dodd-Frank Act imposes additional costs, including new capital, reporting and margin requirements and additional regulation. Increased margin requirements on our part, combined with restrictions on securities that will qualify as eligible collateral, could reduce liquidity and require an increase in our holdings of cash and government securities with lower yields, causing a reduction in income. The derivative clearing requirements of Dodd-Frank will generally increase the cost of our risk mitigation and could potentially expose us to the risk of a default by a clearinghouse with respect to our cleared derivative transactions. The above factors, either alone or in combination, may have an adverse effect on our financial condition and results of operations.</w:t>
      </w:r>
    </w:p>
    <w:p>
      <w:pPr>
        <w:spacing w:after="0" w:line="19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may face unanticipated losses if we determine our reserves for future policy benefits and claims are inadequate, or there are significant deviations from our pricing assumptions.</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calculate and maintain reserves for estimated future benefit payments to our policyholders and contract holders in accordance with U.S. GAAP, which are released as those future obligations are extinguished. The reserves we establish are estimates, primarily based on actuarial assumptions with regard to our future experience, which involve the exercise of significant judgment. Our future financial results depend upon the extent to which our actual future experience is consistent with the assumptions we have used in pricing our products and determining our reserves. Many factors can affect future experience, including economic, political and social conditions, mortality and morbidity, persistency, inflation, healthcare costs and changes in doctrines of legal liability and damage awards in litigation. Therefore, we cannot predict the ultimate amounts we will pay for actual future benefits or the timing of those payments.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Health care costs in particular have risen substantially in recent history and may continue to do so. Our medical stop-loss products provide coverage for claims exceeding certain dollar thresholds for either individual or aggregate claims, and increased medical costs may result in higher claims. Our policies are typically one-year contracts and are underwritten and repriced annually. While we monitor claims costs and changes that may affect future costs, such as medical inflation, changing demographics and changes in the mix of our business, increases in medical costs may exceed our expectations or may not be properly factored into our pricing. This could adversely affect the results of operations in our Benefits segment.</w:t>
      </w:r>
    </w:p>
    <w:p>
      <w:pPr>
        <w:spacing w:after="0" w:line="1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Persistency is the probability that a policy or contract will remain in force from one period to the next. For most of our products, actual persistency that is lower than our assumptions could have an adverse impact on profitability, especially in the early years of a policy or contract primarily because we would be required to accelerate the amortization of expenses we deferred in connection with the acquisition of the policy or contract. In addition, we may need to sell investments at a loss to fund withdrawals. For some of our life insurance policies, actual persistency in later policy durations that is higher than our persistency assumptions could have a negative impact on profitability. If these policies remain in force longer than we assumed, then we could be required to make greater benefit payments than we had anticipated when we priced these products.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we set prices for our insurance and certain annuity products based upon expected claims and payment patterns, using assumptions for, among other factors, morbidity rates and mortality rates of our policyholders and contract holders. The long-term profitability of these products depends upon how our actual experience compares with our pricing assumptions. For example, if morbidity rates are higher or mortality rates are lower than our pricing assumptions, we could be required to make greater payments under our insurance and certain annuity contracts than we had projected. Our largest exposure to morbidity risk is in our medical stop-loss products, which we mitigate through reinsurance. For example, our specific stop-loss business is 100% reinsured for claims above $1.1 million. Our largest exposure to mortality risk is in our Individual Life segment, which we also mitigate through reinsurance. Additionally, a general increase in mortality would be favorable to our Income Annuities segment, as we may pay fewer benefits than expected. Also in our Income Annuities segment, we can experience mortality losses on life contingent policies when mortality rates are lower than expected.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regularly monitor our reserves and review our assumptions. If we conclude that our reserves are insufficient to cover actual or expected policy and contract benefits and claims payments, we would be required to increase our reserves and incur income statement charges in the period in which we make that determination, which could adversely affect our financial condition and results of operations. There were no significant adjustments to reserves due to inadequacy during 2012, 2011 or 2010.</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Although certain of our products permit us to increase premiums or reduce benefits or crediting rates during the life of the policy or contract, these changes may not be sufficient to maintain profitability, or may reduce the attractiveness of our products relative to competitors. Moreover, many of our products either do not permit us to increase premiums or reduce benefits or may limit those changes during the life of the policy or contract. Therefore, significant deviations in experience from our assumptions regarding persistency, mortality and morbidity rates could have an adverse effect on our profitability.</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The amount of statutory capital that we have and the amount of statutory capital that we must hold to meet rating agency, regulatory and other requirements can vary significantly from time to time and is sensitive to a number of factors outside of our control, including equity market and credit market conditions and changes in rating agency models.</w:t>
      </w:r>
    </w:p>
    <w:p>
      <w:pPr>
        <w:spacing w:after="0" w:line="59"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We conduct the vast majority of our business through our insurance company subsidiaries. Accounting standards and statutory capital and reserve requirements for these entities are prescribed by the applicable insurance regulators and the National Association of Insurance Commissioners (“NAIC”). The NAIC has established regulations that provide minimum capitalization requirements based on risk-based capital (“RBC”) formulas for our insurance company subsidiaries. The RBC formula for our insurance company subsidiaries establishes minimum capital requirements relating to insurance, business, asset and interest rate risks.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any particular year, statutory surplus amounts and RBC ratios may increase or decrease depending on a variety of factors: the amount of statutory income or losses generated by our insurance subsidiaries (which itself is sensitive to equity market and credit market conditions), the amount of additional capital our insurance subsidiaries must hold to support business growth or to support changes in the mix of business, changes in equity market levels, the value of certain fixed-income and equity securities in our investment portfolio, changes in interest rates, changes in credit quality ratings for the bonds in our investment portfolio, and changes to the RBC formulas. Most of these factors are outside of our control. Our financial strength and credit ratings are significantly influenced by the statutory surplus amounts and RBC ratios of our insurance company subsidiaries. In addition, rating agencies may implement changes to their internal models that have the effect of increasing or decreasing the amount of statutory capital they believe we should hold. Further, in scenarios of extended periods of very low interest rates, such as those experienced recently, the amount of statutory reserves that we are required to hold may increase, which reduces our statutory surplus. Annually we are required to assess statutory reserve adequacy and as of December 31, 2012, a $25.0 million statutory reserve was established, which reduced our statutory surplus by approximately $16.3 million, net of tax. For further information on this statutory reserve, see Item 7 — “Management’s Discussion and Analysis of Financial Condition and Results of Operations — Liquidity and Capital Resources.”</w:t>
      </w:r>
    </w:p>
    <w:p>
      <w:pPr>
        <w:spacing w:after="0" w:line="127" w:lineRule="exact"/>
        <w:rPr>
          <w:sz w:val="20"/>
          <w:szCs w:val="20"/>
          <w:color w:val="auto"/>
        </w:rPr>
      </w:pPr>
    </w:p>
    <w:p>
      <w:pPr>
        <w:ind w:right="240" w:firstLine="456"/>
        <w:spacing w:after="0" w:line="312" w:lineRule="auto"/>
        <w:rPr>
          <w:sz w:val="20"/>
          <w:szCs w:val="20"/>
          <w:color w:val="auto"/>
        </w:rPr>
      </w:pPr>
      <w:r>
        <w:rPr>
          <w:rFonts w:ascii="Arial" w:cs="Arial" w:eastAsia="Arial" w:hAnsi="Arial"/>
          <w:sz w:val="15"/>
          <w:szCs w:val="15"/>
          <w:color w:val="auto"/>
        </w:rPr>
        <w:t>Our statutory financial statements are subject to the Statements of Statutory Accounting Principles (SSAPs), which is promulgated by the NAIC. In addition, the NAIC, through its Life and Health Actuarial Task Force, issues interpretations or guidelines (Actuarial Guidelines) of state statutes related to reserves and other actuarial topics. These guidelines are used to apply a statute to a particular circumstance. These SSAPs and Actuarial Guidelines impact our statutory surplus and therefore impact the amount of capital we are required to maintain. For example, the Valuation of Life Insurance Policies Regulation, as clarified by Actuarial Guideline 38 (more commonly known as “Regulation XXX and AXXX”) requires insurers to establish additional or redundant statutory reserves for certain universal life and term insurance policies with secondary guarantees. We expect to implement a strategy to manage reserve redundancies in the future as we expect sales of these types of products to increase. However, we cannot provide assurance that there will not be regulatory, tax or other</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challenges to the actions we have taken or will take in the future. The result of this or other potential changes or related challenges could require us to increase statutory reserves or incur higher operating and/or tax costs.</w:t>
      </w:r>
    </w:p>
    <w:p>
      <w:pPr>
        <w:spacing w:after="0" w:line="21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may face unanticipated losses if we are required to accelerate the amortization of deferred policy acquisition costs and/or deferred sales inducements if there are significant deviations in actual experience or in anticipated assumptions.</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Deferred policy acquisition costs represent certain costs that vary with and are directly related to the successful acquisition and renewal of our products and are deferred and amortized over the estimated life of the related contracts. These costs include:</w:t>
      </w:r>
    </w:p>
    <w:p>
      <w:pPr>
        <w:spacing w:after="0" w:line="5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Commissions for successful contract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Premium-based taxes and assessments;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Distribution costs directly related to successful contract acquisition;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underwriting costs related to contracts that are successfully acquired;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portion of the salaries and benefits related to employee time spent on the processing of successfully acquired new and renewal contracts.</w:t>
      </w:r>
    </w:p>
    <w:p>
      <w:pPr>
        <w:spacing w:after="0" w:line="19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All other acquisition-related costs, including costs incurred for soliciting potential customers, managing distribution and underwriting functions, training, administration, unsuccessful acquisition or renewal efforts, market research and product development are not deferrable.</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Deferred sales inducements represent bonus interest and excess interest mainly on our fixed annuity products, which are deferred and reported in other assets on our consolidated balance sheets and amortized as interest credited over the estimated life of the related contracts. Under U.S. GAAP, DAC and DSI are amortized through income over the lives of the underlying contracts in relation to the anticipated recognition of premiums or gross profits for most of our products. As of December 31, 2012, we had $367.9 million of DAC and $153.4 million of DSI, excluding the adjustment for unrealized gains on investments.</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amortization of DAC and DSI generally depends upon anticipated profits from investments, crediting rates, surrender and other policy and contract charges, mortality, morbidity and maintenance and expense margins. Unfavorable experience with regard to expected expenses, investment returns, crediting rates, mortality, morbidity, withdrawals or lapses may cause us to increase the amortization of DAC and DSI, resulting in higher expenses and lower profitability. Our assumptions, including those related to expenses, investment returns, credited interest rates, mortality, morbidity, withdrawals or lapse experience among others, are adjusted quarterly to reflect actual experience to date. For future assumptions, we conduct a study to refine our estimates of future gross profits on an annual basis during the third quarter. Upon completion of this study, we revise our assumptions and update our DAC models to reflect our current best estimate. Changes in our actual experience or our expected future experience may result in increased amortization of DAC or DSI, which would increase our expenses and reduce profitability.</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regularly review our DAC and DSI asset balances to determine if it is recoverable from future income. The portion of the DAC and DSI asset balances deemed to be unrecoverable, if any, is charged to expense in the period in which we make this determination. For example, if we determine that we are unable to recover DAC or DSI from profits over the life of a book of business of insurance policies or annuity contracts, we would be required to recognize the unrecoverable DAC or DSI amortization as a current-period expense.</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further information on our DAC accounting policy, see Item 7 — “Management’s Discussion and Analysis of Financial Condition and Results of Operations — Critical Accounting Policies and Estimates — Deferred Policy Acquisition Costs.”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Changes in accounting standards issued by the Financial Accounting Standards Board or other standard-setting bodies may adversely affect our financial statements.</w:t>
      </w:r>
    </w:p>
    <w:p>
      <w:pPr>
        <w:spacing w:after="0" w:line="51"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Our financial statements are subject to the application of U.S. GAAP, which is periodically revised by recognized authorities, including the Financial Accounting Standards Board (FASB). On January 1, 2012, we adopted a revised standard for DAC, which limited the costs that are eligible for deferral. This standard resulted in more acquisition costs being expensed as incurred, which was partially offset by a decrease in related amortization expense. For further discussion on the impacts of adoption of new accounting policies, see Note 2 to the consolidated financial statements.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the FASB is developing new accounting standards in an effort to converge U.S. GAAP accounting with international accounting principles. As a part of this effort, new standards are being developed for accounting for insurance contracts, which would measure liabilities for insurance contracts based on the present value of estimated future cash flows to fulfill the contract. This could change the recognition and measurement of insurance obligations on our statement of financial position and impact the timing of the related income in our results of operations. The FASB is also drafting a new standard for financial instruments which, as currently proposed, would change the way assets and liabilities classified as financial instruments are recognized and measured. In December 2012, the FASB proposed a new standard that changed the way credit losses for financial assets are measured. Other standards are also being proposed as a part of this convergence project that would also impact our consolidated statements. If adopted, these accounting standards could change the current accounting treatment that we apply to our consolidated financial statements, and such changes could have an adverse effect on our reported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downgrade or a potential downgrade in our financial strength ratings could result in a loss of business.</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Financial strength ratings, which various ratings organizations publish as measures of an insurance company’s ability to meet contract holder and policyholder obligations, are important to maintaining public confidence in our company and our products, and the ability to market our products and our competitive position. A downgrade in our financial strength ratings, or the announced potential for a downgrade, could have an adverse effect on our financial condition, results of operations and cash flows in several ways, including:</w:t>
      </w:r>
    </w:p>
    <w:p>
      <w:pPr>
        <w:spacing w:after="0" w:line="62"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reducing new sales of insurance products, annuities and other investment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our cost of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adversely affecting our relationships with independent sales intermediaries and our dedicated sales specialists;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materially increasing the number or amount of policy surrenders and withdrawals by contract holders and policyholders;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requiring us to reduce prices or increase crediting rates for many of our products and services to remain competitive;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adversely affecting our ability to obtain reinsurance or obtain reasonable pricing on reinsurance.</w:t>
      </w:r>
    </w:p>
    <w:p>
      <w:pPr>
        <w:spacing w:after="0" w:line="25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rely on reinsurance arrangements to help manage our business risks, and failure to perform by the counterparties to our reinsurance arrangements may expose us to risks we had sought to mitigate.</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utilize reinsurance to mitigate our risks in various circumstances, primarily related to products offered by our Benefits and Individual Life divisions. Reinsurance does not relieve us of our direct liability to our policyholders, even when the reinsurer is liable to us. Accordingly, we bear credit risk with respect to our reinsurers. The total reinsurance recoverables due from reinsurers was $302.1 million as of December 31, 2012, of which $119.6 million was recoverable from our single largest reinsurer. Our reinsurers may be unable or unwilling to pay the reinsurance recoverables owed to us now or in the future or on a timely basis. A reinsurer’s insolvency, inability or unwillingness to make payments under the terms of its reinsurance agreement with us could have an adverse effect on our financial condition, results of operations and cash flows.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may not be available, affordable or adequate to protect us against losses.</w:t>
      </w:r>
    </w:p>
    <w:p>
      <w:pPr>
        <w:spacing w:after="0" w:line="90"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As part of our overall risk management strategy, we purchase reinsurance for certain risks underwritten by our various business segments. While reinsurance agreements generally bind the reinsurer for the life of the business reinsured at generally fixed pricing, market conditions beyond our control can determine the availability and cost of the reinsurance protection for new business. In certain circumstances, the price of reinsurance for business already reinsured may also increase. Any decrease in the amount of reinsurance will increase our risk of loss and any increase in the cost of reinsurance will reduce our earnings. Accordingly, we may be forced to incur additional expenses for reinsurance, may not be able to obtain sufficient reinsurance on acceptable terms or may not be able to obtain reinsurance coverage, which could adversely affect our ability to write future business, offer new products or enter new markets, or result in the assumption of more risk with respect to those policies we issue. For further discussion on our reinsurance program, see Item 1 — “Business — Reinsurance.”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Intense competition could adversely affect our ability to maintain or increase our market share and profitability.</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businesses are subject to intense competition. We believe the competitive factors in the sale of our products are product features, price, commission structure, marketing and distribution arrangements, brand, reputation, financial strength ratings and service. Many other companies actively compete for sales of deferred and income annuity products, group health and life insurance, including other major insurers, banks, other financial institutions, mutual fund and asset management firms and specialty providers.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many of our product lines, we face competition from companies that have greater market share or breadth of distribution, stronger brand awareness, offer a broader range of products, services or features, assume a greater level of risk, have lower profitability expectations or have higher financial strength ratings than we do. Many competitors offer similar products and use similar distribution channels. The substantial expansion of banks’ and insurance companies’ distribution capacities and expansion of product features in recent years have intensified pressure on margins and production levels and have increased the level of competition in many of our product lines, which could make it difficult to achieve our target returns.</w:t>
      </w:r>
    </w:p>
    <w:p>
      <w:pPr>
        <w:spacing w:after="0" w:line="19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Our strategies for mitigating risks arising from our day-to-day operations may prove ineffective resulting in a material adverse effect on our results of operations and financial conditions.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performance is highly dependent on our ability to manage risks that arise from a large number of our day-to-day business activities, including setting of premium or interest crediting rates, underwriting, claims processing, policy administration and servicing, execution of our investment strategy, financial and tax reporting, marketing and sales efforts, and other activities, many of which are complex. We also may rely on third parties for such activities. We seek to monitor and control our exposure to risks arising out of or related to these activities through a variety of internal controls, management review processes, and other mechanisms. However, the occurrence of unforeseen or un-contemplated risks, or the occurrence of risks of a greater magnitude than expected, including those arising from a failure in processes, procedures or systems implemented by us or a failure on the part of employees or third parties upon which we rely in this regard, may have a material adverse effect on our financial condition or results of operations.</w:t>
      </w:r>
    </w:p>
    <w:p>
      <w:pPr>
        <w:spacing w:after="0" w:line="1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 occurrence of natural disasters, disease pandemics, terrorism or military actions could adversely affect our financial condition, results of operations and cash flows.</w:t>
      </w:r>
    </w:p>
    <w:p>
      <w:pPr>
        <w:spacing w:after="0" w:line="51" w:lineRule="exact"/>
        <w:rPr>
          <w:sz w:val="20"/>
          <w:szCs w:val="20"/>
          <w:color w:val="auto"/>
        </w:rPr>
      </w:pPr>
    </w:p>
    <w:p>
      <w:pPr>
        <w:ind w:right="320" w:firstLine="456"/>
        <w:spacing w:after="0" w:line="254" w:lineRule="auto"/>
        <w:rPr>
          <w:sz w:val="20"/>
          <w:szCs w:val="20"/>
          <w:color w:val="auto"/>
        </w:rPr>
      </w:pPr>
      <w:r>
        <w:rPr>
          <w:rFonts w:ascii="Arial" w:cs="Arial" w:eastAsia="Arial" w:hAnsi="Arial"/>
          <w:sz w:val="18"/>
          <w:szCs w:val="18"/>
          <w:color w:val="auto"/>
        </w:rPr>
        <w:t>Our financial condition and results of operations are at risk of material adverse effects that could arise from catastrophic mortality and morbidity due to natural disasters, including floods, tornadoes, earthquakes and hurricanes, disease pandemics, terrorism and military actions. Such events could also lead to unexpected changes in persistency rates as policyholders and contract holders who are affected by the disaster may be unable to meet their contractual obligations, such as payment of premiums on our insurance policies or deposits into our investment products. The effectiveness of external parties, including governmental and nongovernmental organizations, in combating the spread and severity of a disease pandemic could have a material impact on the losses experienced by us.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continued threat of terrorism and ongoing military actions may cause significant volatility in global financial markets, and a natural disaster or a disease pandemic could trigger an economic downturn in the areas directly or indirectly affected by the disaster. These could adversely impact the valuation and performance of our investment portfolio. Further, for products sold through our Benefits and Individual Life Divisions, a localized event that affects one or more of our customers could cause a significant loss due to mortality or morbidity claims.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majority of our operations are located in Bellevue, Washington, although we have other offices throughout the U.S. We maintain a business continuity plan for our operations, but we cannot predict with certainty whether our plan will be successfully implemented in the event of an actual catastrophic event or disaster or predict with certainty when normal business operations would resume if such an event occurs. In the event of a catastrophic event or disaster, our employees may be unable to perform their duties for an extended period of time, and/or we may have limited or no connectivity, which may interrupt our business operations and adversely affect our financial condition, results of operations, and cash flows. The majority of our employees are equipped to work remotely; however certain duties, such as processing new business applications, may be difficult to perform remotely.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to maintain effective and efficient information systems could adversely affect our business.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use computer systems to store, retrieve, evaluate and use customer and company data and information. Additionally, our computer and information technology systems interface with and rely upon third-party systems. Our business is highly dependent on our ability, and the ability of our business partners, to access these systems to perform necessary business functions, including providing insurance quotes, processing premium payments, providing customer support, filing and paying claims and making changes to existing policies. We also use systems for investment management, financial reporting and data analysis to support our policyholder reserves and other actuarial estimates.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failure to maintain effective and efficient information systems could have a material adverse effect on our financial condition and results of operations.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If we do not maintain adequate systems, we could experience adverse consequences, including:</w:t>
      </w:r>
    </w:p>
    <w:p>
      <w:pPr>
        <w:spacing w:after="0" w:line="84"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inadequate information on which to base pricing, underwriting and reserving decisions;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inadequate information for accurate financial reporting;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administrative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loss of existing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in attracting new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customer, provider and agent disputes;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exposure;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compliance problems, such as failure to meet prompt payment obligations.</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Systems outages or outright failures would compromise our ability to perform critical functions in a timely manner. This could hurt our relationships with our business partners and customers and harm our ability to conduct business. In the event of a disaster such as a blackout, a computer virus, a cyber-attack, an industrial accident, a natural catastrophe, a terrorist attack or war, our systems may not be available to our employees, customers or business partners for an extended period of time. If our systems or our data are destroyed or disabled, employees may be unable to perform their duties for an extended period of time. Our systems could also be subject to similar disruptions due to physical and electronic break-ins or other types of unauthorized tampering with our systems. This may interrupt our business operations and may have a material adverse effect on our financial condition, results of operations and cash flows.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committed and will continue to commit resources to develop, maintain and enhance our existing information systems and develop new information systems in order to keep pace with continuing changes in information processing technology, evolving industry and regulatory standards and changing customer preferences. Our ability to keep our systems fully integrated with those of our clients is critical to the operation of our business, and failure to update our systems to reflect technological advancements or to protect our systems may adversely affect our relationships and ability to do business with our clients.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to protect our clients’ confidential information and privacy could adversely affect our business.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number of our businesses are subject to privacy regulations and confidentiality obligations. For example, the collection and use of patient data in our Benefits segment is the subject of national and state legislation, including the Health Insurance Portability and Accountability Act of 1996 (HIPAA) and certain of the activities conducted by our businesses are subject to the privacy regulations of the Gramm-Leach-Bliley Act and state privacy laws and regulations. We also have contractual obligations to protect certain confidential information we obtain from our existing vendors and clients. These obligations generally include protecting such confidential information in the same manner and to the same extent as we protect our own confidential information. The actions we take to protect confidential information vary by business segment and may include, among other things:</w:t>
      </w:r>
    </w:p>
    <w:p>
      <w:pPr>
        <w:spacing w:after="0" w:line="39"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training and educating our employees regarding our obligations relating to confidential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monitoring changes in state or federal privacy and compliance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drafting appropriate contractual provisions into any contract that raises proprietary and confidentiality issues;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secure storage facilities for tangible records;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access to electronic information;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event of a security breach, providing credit monitoring or other services to affected customers.</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addition, we must develop, implement and maintain a comprehensive written information security program with appropriate administrative, technical and physical safeguards to protect such confidential information. If we do not properly comply with privacy regulations and protect confidential information, we could experience adverse consequences, including regulatory sanctions, such as penalties, fines and loss of license, as well as loss of reputation and possible litigation. This could have an adverse impact on our company’s image and, therefore, result in lower sales or lapses of existing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interrupted or compromised if we experience difficulties arising from outsourcing relationships.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outsource significant technology and business functions to third parties, including a substantial portion of our investment management and information technology functions, and expect to continue to do so in the future. When we engage a third-party vendor, we perform due diligence on the vendor, including evaluations of quality of service, financial stability, compliance with laws and regulations and appropriate business continuity plans. However, if our due diligence is not sufficient, we do not maintain an effective outsourcing strategy or third-party providers do not perform as contracted, we may experience operational difficulties, increased costs and a loss of business and reputation that could have a material adverse effect on our consolidated results of operations. Further our third-party service providers are required to maintain and routinely test business continuity plans. However, catastrophic events interrupting their business operations may disrupt their provision of critical services to us for an extended period of time, which may adversely affect our financial condition, results of operations, and cash flows.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credit facility subjects us to operating and financial covenants on our operations and could limit our ability to grow our business.</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have a $300.0 million revolving credit facility. This credit facility also provides access to up to an additional $100.0 million of financing, subject to the availability of additional commitments. We rely on the facility as a potential source of liquidity, which could be critical in enabling us to meet our obligations as they come due, particularly during periods when alternative sources of liquidity are limited. As of December 31, 2012, we had no balance outstanding and we have had no borrowings under this facility or under the previous facility since originally established. In connection with the current facility, we have agreed to covenants that may impose significant operating and financial restrictions on us. These restrictions limit the incurrence of additional indebtedness by our subsidiaries, limit the ability of us and our subsidiaries to create liens and impose certain other operating limitations. These restrictions could limit our ability to obtain future financing or take advantage of business opportunities.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Furthermore, our credit facility requires us and our insurance subsidiaries to maintain specified financial ratios. Our ability to comply with these ratios may be affected by events beyond our control, including prevailing economic, financial and industry conditions. If we are unable to comply with the covenants and ratios in our credit facility, we may be deemed in default under the facility and unable to access it when needed, or we may be required to pay substantial fees or penalties to the lenders to obtain a waiver of any such default. Either development could have a material adverse effect on our business, financial condition and results of operations.</w:t>
      </w:r>
    </w:p>
    <w:p>
      <w:pPr>
        <w:spacing w:after="0" w:line="22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may need additional capital in the future, which may not be available to us on favorable terms or at all. Raising additional capital could dilute stockholder ownership in the Company and may cause the market price of our common stock to fall.</w:t>
      </w:r>
    </w:p>
    <w:p>
      <w:pPr>
        <w:spacing w:after="0" w:line="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need liquidity to pay our policyholder benefits, operating expenses, interest on our debt and dividends on our outstanding common stock and warrants, and to pay down or replace certain debt obligations as they mature. We may need to raise additional funds through public or private debt or equity financings in order to:</w:t>
      </w:r>
    </w:p>
    <w:p>
      <w:pPr>
        <w:spacing w:after="0" w:line="59"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fund liquidity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refinance our senior notes or our Capital Efficient Notes (CENts);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satisfy letter of credit or guarantee bond requirements that may be imposed by our clients or by regulators;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acquire new businesses or invest in existing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grow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otherwise respond to competitive pressures;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adequate risk-based capital;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our target ratings from rating agencies.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Future deterioration of our capital position at a time when we are unable to access the long-term debt market could have a material adverse effect on our liquidity. Our internal sources of liquidity may prove to be insufficient, which may require us to:</w:t>
      </w:r>
    </w:p>
    <w:p>
      <w:pPr>
        <w:spacing w:after="0" w:line="5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 or eliminate future stockholder dividends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utilize unused borrowings for general corporate purposes;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undertake additional capital management activities, including reinsurance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or curtail sales of certain products and/or restructure existing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undertake asset sales or internal asset transfers;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temporary or permanent changes to regulatory rules.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Certain of these actions may require regulatory approval and/or the approval of counterparties, which are outside of our control or have economic costs associated with them. Actions we might take to access financing may also cause rating agencies to reevaluate our ratings. Further, in connection with the CENts offering, we entered into a covenant that may limit our ability to undertake certain additional types of financing to repay or redeem the CENts.</w:t>
      </w:r>
    </w:p>
    <w:p>
      <w:pPr>
        <w:spacing w:after="0" w:line="10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Any additional capital raised through the sale of equity will dilute each stockholder’s ownership percentage in our company and may decrease the market price of our common stock. Furthermore, newly issued securities may have rights, preferences and privileges that are senior or otherwise superior to those of our common stock. Any additional financing we may need may not be available on terms favorable to us.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Without sufficient liquidity, we could be forced to curtail our operations, and our business could suffer. Disruptions, uncertainty or volatility in the financial markets may limit our access to capital required to operate our business and maintain desired financial ratios. These market conditions may limit our ability to access the capital necessary to grow our business, replace capital withdrawn by customers or raise new capital required by our subsidiaries as a result of volatility in the markets in a timely manner. As a result, we may be forced to delay raising capital, bear an unattractive cost of capital or be unable to raise capital at any price, which could decrease our profitability and significantly reduce our financial flexibility.</w:t>
      </w:r>
    </w:p>
    <w:p>
      <w:pPr>
        <w:spacing w:after="0" w:line="197"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As a holding company, Symetra Financial Corporation depends on the ability of its subsidiaries to transfer funds to it to meet its obligations and pay dividends or engage in stock repurchases.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Symetra is a holding company for its insurance and financial subsidiaries with no significant operations of its own. Its principal sources of cash to meet its obligations and to pay dividends consist of dividends from its subsidiaries and permitted payments under tax sharing agreements with its subsidiaries. In addition, the ability to execute common stock repurchases may be dependent on dividends from Symetra’s subsidiaries. On February 1, 2013, Symetra’s board of directors authorized the repurchase of up to 10 million shares of outstanding common stock. The timing and amount of any stock repurchases will be determined by management, based on market conditions, regulatory considerations and other factors. The ability to execute repurchases under this program may be dependent on dividends from Symetra’s subsidiaries.</w:t>
      </w:r>
    </w:p>
    <w:p>
      <w:pPr>
        <w:spacing w:after="0" w:line="12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State insurance regulatory authorities limit the payment of dividends by insurance subsidiaries. Based on our statutory results as of December 31, 2012, insurance subsidiaries may pay Symetra dividends of up to $282.2 million in the aggregate during 2013 without obtaining regulatory approval. Competitive pressures generally require our insurance subsidiaries to maintain financial strength ratings, which are partly based on maintaining certain levels of capital. These restrictions and other regulatory requirements, such as minimum required risk-based capital ratios, affect the ability of our insurance subsidiaries to make dividend payments. Limits on the ability of the insurance subsidiaries to pay dividends could adversely affect our liquidity, including our ability to pay dividends to stockholders, repurchase common stock and service our debt. Dividends paid to the common stockholders and warrant holders are at the discretion of the board of directors.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More information about the ability of the insurance subsidiaries to pay dividends can be found in Note 16 to the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stockholders may be able to influence the direction of our business.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principal stockholders, affiliates of White Mountains Insurance Group, Ltd. and Berkshire Hathaway Inc., each beneficially owned approximately 21% of our outstanding shares of common stock as of February 20, 2013 (including warrants exercisable for 9,487,872 shares held by affiliates of each of White Mountains Insurance Group, Ltd. and Berkshire Hathaway Inc.). Accordingly, they may have the ability to significantly influence all matters requiring stockholder approval, including the nomination and election of directors and the determination of the outcome of any corporate transaction or other matter submitted to our stockholders for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approval, including amendments to our certificate of incorporation, potential mergers or acquisitions, asset sales and other significant corporate transactions. The interests of our principal stockholders may not coincide with the interests of the other holders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industry is highly regulated and changes in regulations affecting our businesses may reduce our profitability and limit our growth.</w:t>
      </w:r>
    </w:p>
    <w:p>
      <w:pPr>
        <w:spacing w:after="0" w:line="11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Our insurance businesses are heavily regulated and are subject to a wide variety of laws and regulations in various jurisdictions. Our insurance subsidiaries are subject to state insurance laws and regulated by the insurance departments of the various states in which they are domiciled and licensed. State laws in the United States grant insurance regulatory authorities broad administrative powers with respect to various aspects of our insurance businesses, including:</w:t>
      </w:r>
    </w:p>
    <w:p>
      <w:pPr>
        <w:spacing w:after="0" w:line="7"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licensing companies and agents to transact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calculating the value of assets to determine compliance with statutory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mandating certain insurance benefits;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regulating certain premium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approving policy forms;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regulating unfair trade and claims practices, including the imposition of restrictions on marketing and sales practices, distribution arrangements and payment of inducements;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establishing statutory capital and reserve requirements and solvency standards;</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establishing maximum interest rates on insurance policy loans and minimum rates for guaranteed crediting rates on life insurance policies and annuity contracts;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regular market conduct examinations;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conducting unannounced and targeted market conduct examinations;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approving changes in control of 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restricting the payment of dividends and other transactions between affiliates;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regulating the types, amounts and valuation of investments.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State insurance regulators and the NAIC regularly re-examine existing laws and regulations applicable to insurance companies and their products. Changes in these laws and regulations, or in interpretations thereof, are often made for the benefit of the consumer at the expense of the insurer and thus could have an adverse effect on our business.</w:t>
      </w:r>
    </w:p>
    <w:p>
      <w:pPr>
        <w:spacing w:after="0" w:line="140"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Currently, the U.S. federal government does not regulate directly the business of insurance. However, the Dodd-Frank Act created a Federal Insurance Office. While the office will not directly regulate domestic insurance business, it is tasked with studying the potential efficiency and consequences of federal insurance regulation. We cannot predict what impact, if any, the results of these studies or other such proposals, if enacted, may have on our financial condition, results of operations and cash flows. Additionally, federal legislation and administrative policies in other areas can significantly and adversely affect insurance companies, including general financial services regulation, securities regulation, pension regulation, privacy regulation, tort reform legislation, and taxation.</w:t>
      </w:r>
    </w:p>
    <w:p>
      <w:pPr>
        <w:spacing w:after="0" w:line="10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2012, the United States Supreme Court upheld the constitutionality of the Patient Protection and Affordable Care Act, which impacts our medical stop-loss and limited benefit medical businesses. However, as there are still implementation details yet to be clarified at the state and federal levels, it remains unclear at this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time how our medical stop-loss business would be impacted. Further, our limited benefit medical product will need to be repositioned as supplemental coverage and we cannot predict whether such repositioning will be successful. We will continue to monitor the implementation of PPACA and reassess our business strategies accordingly.</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Many of our customers and independent sales intermediaries also operate in regulated environments. Changes in the regulations that affect their operations also may affect our business relationships with them and their ability to purchase or to distribute our products.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Compliance with applicable laws and regulations is time consuming and personnel-intensive, and changes in these laws and regulations may materially increase our direct and indirect compliance efforts and other expenses of doing business. For example, in 2012, the NAIC adopted the Risk Management and Own Risk and Solvency Assessment (“ORSA”) Model Act, which requires insurers to maintain a framework for identifying, assessing, monitoring, managing and reporting on the “material and relevant risks” associated with the insurer’s current business plans. ORSA, which provides for an effective date of January 1, 2015, is part of the NAIC’s overall Solvency Modernization Initiative (“SMI”). As a Model Act, ORSA must be adopted by our domiciliary state to be effective for our insurance companies. We are working to integrate the requirements of ORSA into our existing risk management framework.</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U.S. federal and state securities laws apply to investment products that are also securities, including variable annuities and variable life insurance policies. As a result, some of our subsidiaries and the policies and contracts they offer are subject to regulation under these federal and state securities laws. Some of our insurance subsidiaries’ separate accounts are registered as investment companies under the Investment Company Act of 1940. Some subsidiaries are registered as broker-dealers under the Securities Exchange Act of 1934 and are members of, and subject to regulation by FINRA. In addition, two of our subsidiaries are registered as investment advisers under the Investment Advisers Act of 1940. These subsidiaries may also be impacted by interpretations and rules created as a result of the Dodd-Frank Act.</w:t>
      </w:r>
    </w:p>
    <w:p>
      <w:pPr>
        <w:spacing w:after="0" w:line="12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Securities laws and regulations are primarily intended to ensure the integrity of financial markets and to protect investors in the securities markets or investment advisory or brokerage clients. These laws and regulations grant supervisory agencies broad administrative powers, including the power to limit or restrict the conduct of business for failure to comply with those laws and regulations.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Legal and regulatory investigations and actions are increasingly common in our businesses and may result in financial losses and harm our reputation.</w:t>
      </w:r>
    </w:p>
    <w:p>
      <w:pPr>
        <w:spacing w:after="0" w:line="12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face a significant risk of litigation and regulatory investigations and actions in the ordinary course of operating our businesses, including the risk of class action lawsuits. Our pending legal and regulatory actions include proceedings specific to us and others generally applicable to business practices in the industries in which we operate. We may become subject to class actions and regulatory actions and we are or may become subject to individual lawsuits relating, among other things, to sales or underwriting practices, payment of contingent or other sales commissions, claims payments and procedures, product design, disclosure, administration, additional premium charges for premiums paid on a periodic basis, interest crediting practices, denial or delay of benefits, breaches of fiduciary or other duties to customers, and investment activities. Plaintiffs in class action and other lawsuits against us may seek very large or indeterminate amounts, including punitive and treble damages, which may remain unknown for substantial periods of time. Such litigation or regulatory investigations may relate to the following:</w:t>
      </w:r>
    </w:p>
    <w:p>
      <w:pPr>
        <w:spacing w:after="0" w:line="37" w:lineRule="exact"/>
        <w:rPr>
          <w:sz w:val="20"/>
          <w:szCs w:val="20"/>
          <w:color w:val="auto"/>
        </w:rPr>
      </w:pPr>
    </w:p>
    <w:p>
      <w:pPr>
        <w:ind w:left="900" w:right="54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Annuity sales to seniors continue to be scrutinized by FINRA and state insurance regulators, and have been the source of industry litigation in situations where annuity sales have allegedly been unsuitable for the seniors’ financial needs.</w:t>
      </w:r>
    </w:p>
    <w:p>
      <w:pPr>
        <w:spacing w:after="0" w:line="50"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Funding services have been viewed unfavorably in the past by consumer advocates and the media and have the potential to be misunderstood by regulators and courts. This is particularly the case where we offer funding services to payees of our own structured settlement annuities.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subject to market conduct examinations related to unclaimed property by state insurance regulators and audits of escheatment practices by state revenue authorities, related to the following:</w:t>
      </w:r>
    </w:p>
    <w:p>
      <w:pPr>
        <w:spacing w:after="0" w:line="50" w:lineRule="exact"/>
        <w:rPr>
          <w:rFonts w:ascii="Arial" w:cs="Arial" w:eastAsia="Arial" w:hAnsi="Arial"/>
          <w:sz w:val="18"/>
          <w:szCs w:val="18"/>
          <w:color w:val="auto"/>
        </w:rPr>
      </w:pPr>
    </w:p>
    <w:p>
      <w:pPr>
        <w:ind w:left="1480" w:hanging="567"/>
        <w:spacing w:after="0" w:line="28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State insurance regulators have been scrutinizing claims settlement practices of life insurance companies with regard to payment of death benefits. Through their authority to regulate market conduct, including claims settlement practices, state insurance regulators have been examining the use by life insurance companies of the U.S. Social Security Administration’s Death Master File (SSADMF) to identify deceased persons and the processes by which life insurance companies search for beneficiaries of life and annuity contracts. In particular, these regulators have been looking at how life insurance companies handle unreported deaths, maturity of life insurance and annuity contracts, and contracts that have exceeded limiting age to determine if the companies are appropriately identifying when death benefits or other payments under the contracts should be made. Several states have enacted new laws or adopted new regulations mandating the use by life insurance companies of the SSADMF or other similar data bases to identify deceased persons and more rigorous processes to find beneficiaries. Symetra’s life insurance companies are currently being examined by the California Department of Insurance on behalf of itself and several other states with regard to the companies’ claims settlement practices.</w:t>
      </w:r>
    </w:p>
    <w:p>
      <w:pPr>
        <w:spacing w:after="0" w:line="41" w:lineRule="exact"/>
        <w:rPr>
          <w:rFonts w:ascii="Arial" w:cs="Arial" w:eastAsia="Arial" w:hAnsi="Arial"/>
          <w:sz w:val="18"/>
          <w:szCs w:val="18"/>
          <w:color w:val="auto"/>
        </w:rPr>
      </w:pPr>
    </w:p>
    <w:p>
      <w:pPr>
        <w:ind w:left="1480" w:right="60" w:hanging="567"/>
        <w:spacing w:after="0" w:line="290"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State insurance regulators also have been scrutinizing claims settlement practices of life insurance companies with regard to unclaimed life insurance and annuity death benefits, including escheatment practices. Through their authority to regulate market conduct, including unclaimed property practices, state insurance regulators have been examining the escheatment practices of life insurance companies and sanctioned several for failure to escheat death benefits or other contract benefits to state revenue authorities when beneficiaries could not be found at the expiration of statutory dormancy periods. Sanctions have included fines and agreements by insurance companies to improve their escheatment practices. Symetra’s life insurance companies are currently being examined by the California Insurance Department on behalf of itself and several other states with regard to their unclaimed property and escheatment practices.</w:t>
      </w:r>
    </w:p>
    <w:p>
      <w:pPr>
        <w:spacing w:after="0" w:line="37" w:lineRule="exact"/>
        <w:rPr>
          <w:rFonts w:ascii="Arial" w:cs="Arial" w:eastAsia="Arial" w:hAnsi="Arial"/>
          <w:sz w:val="18"/>
          <w:szCs w:val="18"/>
          <w:color w:val="auto"/>
        </w:rPr>
      </w:pPr>
    </w:p>
    <w:p>
      <w:pPr>
        <w:ind w:left="1480" w:hanging="567"/>
        <w:spacing w:after="0" w:line="28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State treasurers, controllers and revenue departments have also been scrutinizing escheatment practices of life insurance companies with regard to unclaimed life insurance and annuity death benefits. As with state insurance regulators, state revenue authorities have been looking at how life insurance companies handle unreported deaths, maturity of life insurance and annuity contracts, and contracts that have exceeded limiting age to determine if the companies are appropriately determining when death benefits or other payments under the contracts should be treated as unclaimed property. State treasurers, controllers and revenue departments have audited life insurance companies, required escheatments and imposed interest penalties on amounts escheated for failure to escheat death benefits or other contract benefits when beneficiaries could not be found at the expiration of statutory dormancy periods. Symetra’s life insurance companies are currently being audited by a private contractor working for a number of state revenue departments to determine whether unclaimed life insurance and annuity death benefits should be escheated to the states in which deceased owners resided.</w:t>
      </w:r>
    </w:p>
    <w:p>
      <w:pPr>
        <w:spacing w:after="0" w:line="39" w:lineRule="exact"/>
        <w:rPr>
          <w:sz w:val="20"/>
          <w:szCs w:val="20"/>
          <w:color w:val="auto"/>
        </w:rPr>
      </w:pPr>
    </w:p>
    <w:p>
      <w:pPr>
        <w:ind w:left="920" w:right="120"/>
        <w:spacing w:after="0" w:line="294" w:lineRule="auto"/>
        <w:rPr>
          <w:sz w:val="20"/>
          <w:szCs w:val="20"/>
          <w:color w:val="auto"/>
        </w:rPr>
      </w:pPr>
      <w:r>
        <w:rPr>
          <w:rFonts w:ascii="Arial" w:cs="Arial" w:eastAsia="Arial" w:hAnsi="Arial"/>
          <w:sz w:val="16"/>
          <w:szCs w:val="16"/>
          <w:color w:val="auto"/>
        </w:rPr>
        <w:t>It is possible that examinations, audits and related activity and/or new state laws or regulations could result in additional payments to beneficiaries, additional escheatment of funds deemed abandoned under state laws, interest penalties, and changes to the Symetra life insurance companies’ procedures. Given the legal and regulatory uncertainty in this area, it is also possible that life insurers, including Symetra’s life insurers, may be subject to claims, regulatory actions, law enforcement actions and civil litigation concerning their business practices. Any resulting additional payments or costs would have an adverse effect on our results of operations.</w:t>
      </w:r>
    </w:p>
    <w:p>
      <w:pPr>
        <w:spacing w:after="0" w:line="35" w:lineRule="exact"/>
        <w:rPr>
          <w:sz w:val="20"/>
          <w:szCs w:val="20"/>
          <w:color w:val="auto"/>
        </w:rPr>
      </w:pPr>
    </w:p>
    <w:p>
      <w:pPr>
        <w:jc w:val="both"/>
        <w:ind w:left="900" w:right="40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also subject to various other regulatory inquiries, such as information requests, subpoenas, market conduct exams and books and record examinations, from state and federal regulators and other authorities, which may result in fines, recommendations for corrective action or other regulatory actions.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Current or future investigations and proceedings could have an adverse effect on our business. A substantial legal liability or a significant regulatory action against us could have an adverse effect on our business. Moreover, even if we ultimately prevail in the litigation, regulatory action or investigation, we could suffer significant reputational harm, which could have an adverse effect on our business. Increased regulatory scrutiny and any resulting investigations or proceedings could result in new legal actions or precedents and industry-wide regulations or practices that could adversely affect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Potential changes in tax laws could make some of our products less attractive to customers and adversely affect our results of operations.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Many of the products that we sell benefit from one or more forms of tax-favored status under current federal tax law. For example, we sell life insurance policies that benefit from the deferral or elimination of taxation on earnings accrued under the policy, as well as permanent exclusion of certain death benefits that may be paid to policyholders’ beneficiaries. We also sell annuity contracts that allow the policyholders to defer the recognition of taxable income earned within the contract.</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we benefit from current tax laws, changes in which could increase our company tax liability and income tax expense. For example, recent federal budget proposals, if enacted, would affect the taxation of life insurance companies and certain life insurance products. In particular, those proposals include modifying the dividends-received deduction for life insurance company separate accounts and expanding the interest expense disallowance for corporate-owned life insurance. If proposals of this type were enacted, our sales could be adversely affected, primarily variable products and BOLI, and our actual tax expense could increase, reducing earnings.</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Congress has previously considered and may revisit legislation that could make our products less attractive to consumers, including legislation that would reduce or eliminate the benefits derived from the tax deferred nature of life insurance and annuity products. Due in large part to the ongoing budget crisis affecting many governments, there is an increasing risk that federal and/or state tax legislation could be enacted that would result in higher taxes on insurance companies and their policyholders. Although the specific form of any such potential legislation is uncertain, it could include reducing or eliminating some or all of the tax advantages currently benefiting us or our policyholders. Changes to these favorable tax statuses could adversely affect our sales and lapses of current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Failures elsewhere in the insurance industry could obligate us to pay assessments through guaranty associations.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When an insurance company becomes insolvent, state insurance guaranty associations have the right to assess other insurance companies doing business in their state for funds to pay obligations to policyholders of the insolvent company, up to the state-specific limit of coverage. The total amount of the assessment is typically based on the number of insured residents in each state, and each company’s portion is based on its proportionate share of premium volume in the relevant lines of business. The future failure of a large life, health or annuity insurer could trigger assessments which we would be obligated to pay. Further, amounts for historical insolvencies may be assessed over many years, and there can be significant uncertainty around the total obligation for a given insolvency. In addition, certain states allow us to offset future assessments with premium tax offsets which are estimated and recorded as a corresponding asset. Existing liabilities may not be sufficient to fund the ultimate obligations of a historical insolvency, and we may be required to increase our liability, which could have an adverse effect on our results of operations. In addition, future premium tax offsets may not be realized and we may be required to decrease our asset, which could also have an adverse effect on our results of operations.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lease our headquarters in Bellevue, Washington, which consists of 222,000 square feet in the Symetra Center building and 72,000 square feet in the adjacent Key Center building. Leases for both facilities expire in 2015 with multiple options to renew. Our headquarters in Bellevue serves as the primary location for operations of all of our divisions. In addition to our headquarters, we lease 20 other properties throughout the U.S. which comprise a total of 105,000 square feet.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properties are suitable and adequate for our business as presently conducted.</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are regularly a party to litigation, arbitration proceedings and governmental examinations in the ordinary course of our business. While we cannot predict the outcome of any pending or future litigation or examination, we do not believe that any pending matter, individually or in the aggregate, will have a material adverse effect on our business.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459"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Shares of our common stock began trading on the New York Stock Exchange (“NYSE”) under the symbol “SYA” on January 22, 2010. The following table presents the high and low closing price for our common stock and the dividends declared per share during the 2012 and 2011 fiscal years:</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4"/>
              </w:rPr>
              <w:t>Dividend</w:t>
            </w:r>
          </w:p>
        </w:tc>
      </w:tr>
      <w:tr>
        <w:trPr>
          <w:trHeight w:val="161"/>
        </w:trPr>
        <w:tc>
          <w:tcPr>
            <w:tcW w:w="41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Low</w:t>
            </w:r>
          </w:p>
        </w:tc>
        <w:tc>
          <w:tcPr>
            <w:tcW w:w="30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4"/>
              </w:rPr>
              <w:t>Declared</w:t>
            </w: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2012:</w:t>
            </w:r>
          </w:p>
        </w:tc>
        <w:tc>
          <w:tcPr>
            <w:tcW w:w="26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440" w:type="dxa"/>
            <w:vAlign w:val="bottom"/>
            <w:gridSpan w:val="3"/>
          </w:tcPr>
          <w:p>
            <w:pPr>
              <w:jc w:val="right"/>
              <w:ind w:right="300"/>
              <w:spacing w:after="0"/>
              <w:rPr>
                <w:sz w:val="20"/>
                <w:szCs w:val="20"/>
                <w:color w:val="auto"/>
              </w:rPr>
            </w:pPr>
            <w:r>
              <w:rPr>
                <w:rFonts w:ascii="Arial" w:cs="Arial" w:eastAsia="Arial" w:hAnsi="Arial"/>
                <w:sz w:val="18"/>
                <w:szCs w:val="18"/>
                <w:color w:val="auto"/>
              </w:rPr>
              <w:t>$13.02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10.91</w:t>
            </w:r>
          </w:p>
        </w:tc>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0.07</w:t>
            </w:r>
          </w:p>
        </w:tc>
      </w:tr>
      <w:tr>
        <w:trPr>
          <w:trHeight w:val="216"/>
        </w:trPr>
        <w:tc>
          <w:tcPr>
            <w:tcW w:w="4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13.41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11.25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0.07</w:t>
            </w: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440" w:type="dxa"/>
            <w:vAlign w:val="bottom"/>
            <w:gridSpan w:val="3"/>
          </w:tcPr>
          <w:p>
            <w:pPr>
              <w:jc w:val="right"/>
              <w:ind w:right="300"/>
              <w:spacing w:after="0"/>
              <w:rPr>
                <w:sz w:val="20"/>
                <w:szCs w:val="20"/>
                <w:color w:val="auto"/>
              </w:rPr>
            </w:pPr>
            <w:r>
              <w:rPr>
                <w:rFonts w:ascii="Arial" w:cs="Arial" w:eastAsia="Arial" w:hAnsi="Arial"/>
                <w:sz w:val="18"/>
                <w:szCs w:val="18"/>
                <w:color w:val="auto"/>
              </w:rPr>
              <w:t>12.62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10.83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0.07</w:t>
            </w:r>
          </w:p>
        </w:tc>
      </w:tr>
      <w:tr>
        <w:trPr>
          <w:trHeight w:val="216"/>
        </w:trPr>
        <w:tc>
          <w:tcPr>
            <w:tcW w:w="4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11.63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0.07</w:t>
            </w:r>
          </w:p>
        </w:tc>
      </w:tr>
      <w:tr>
        <w:trPr>
          <w:trHeight w:val="216"/>
        </w:trPr>
        <w:tc>
          <w:tcPr>
            <w:tcW w:w="414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2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3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7.67</w:t>
            </w: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0.06</w:t>
            </w: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3440" w:type="dxa"/>
            <w:vAlign w:val="bottom"/>
            <w:gridSpan w:val="3"/>
          </w:tcPr>
          <w:p>
            <w:pPr>
              <w:jc w:val="right"/>
              <w:ind w:right="300"/>
              <w:spacing w:after="0"/>
              <w:rPr>
                <w:sz w:val="20"/>
                <w:szCs w:val="20"/>
                <w:color w:val="auto"/>
              </w:rPr>
            </w:pPr>
            <w:r>
              <w:rPr>
                <w:rFonts w:ascii="Arial" w:cs="Arial" w:eastAsia="Arial" w:hAnsi="Arial"/>
                <w:sz w:val="18"/>
                <w:szCs w:val="18"/>
                <w:color w:val="auto"/>
              </w:rPr>
              <w:t>13.67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8.00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0.06</w:t>
            </w:r>
          </w:p>
        </w:tc>
      </w:tr>
      <w:tr>
        <w:trPr>
          <w:trHeight w:val="216"/>
        </w:trPr>
        <w:tc>
          <w:tcPr>
            <w:tcW w:w="4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3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14.11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12.61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0.06</w:t>
            </w:r>
          </w:p>
        </w:tc>
      </w:tr>
      <w:tr>
        <w:trPr>
          <w:trHeight w:val="222"/>
        </w:trPr>
        <w:tc>
          <w:tcPr>
            <w:tcW w:w="41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3440" w:type="dxa"/>
            <w:vAlign w:val="bottom"/>
            <w:gridSpan w:val="3"/>
          </w:tcPr>
          <w:p>
            <w:pPr>
              <w:jc w:val="right"/>
              <w:ind w:right="300"/>
              <w:spacing w:after="0"/>
              <w:rPr>
                <w:sz w:val="20"/>
                <w:szCs w:val="20"/>
                <w:color w:val="auto"/>
              </w:rPr>
            </w:pPr>
            <w:r>
              <w:rPr>
                <w:rFonts w:ascii="Arial" w:cs="Arial" w:eastAsia="Arial" w:hAnsi="Arial"/>
                <w:sz w:val="18"/>
                <w:szCs w:val="18"/>
                <w:color w:val="auto"/>
              </w:rPr>
              <w:t>14.30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12.65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0.05</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20, 2013, there were approximately 38 registered holders of record for our common stock and 119.100 million shares outstanding.</w:t>
      </w:r>
    </w:p>
    <w:p>
      <w:pPr>
        <w:spacing w:after="0" w:line="194"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following graph provides a comparison of the cumulative total shareholder return on our common stock with the cumulative total return of the S&amp;P 500 Index, and the S&amp;P 500 Life and Health Index. The comparison assumes $100 was invested in our common stock and in each of the foregoing indexes on January 22, 2010. It also assumes the reinvestment of dividends. The graph covers the period of January 22, 2010, through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98425</wp:posOffset>
            </wp:positionV>
            <wp:extent cx="5196840" cy="25387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96840"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Since becoming a public company, Symetra has paid and intends to continue to pay quarterly cash dividends on its common stock. Dividends on common stock are also paid to holders of outstanding warrants and restricted shares on a one-to-one basis. The future declaration and payment of dividends will be at the discretion of the board of directors and will depend on many factors, including its financial condition and results of operations, liquidity requirements, market opportunities, capital requirements of its subsidiaries, legal requirements, regulatory constraints and other relevant factors. Further, Symetra is a holding company with no significant business operations of its own and, as a result, its ability to pay future dividends is, in part, dependent upon receiving dividends from its subsidiaries.</w:t>
      </w:r>
    </w:p>
    <w:p>
      <w:pPr>
        <w:spacing w:after="0" w:line="14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For more information regarding the ability to pay dividends, see Item 7 — “Management’s Discussion and Analysis of Financial Condition and Results of Operations — Capital and Liquidity” and Note 16 in the accompanying notes to the 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equity securities by the issuer and affiliated purchasers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Purchases of common stock made by or on behalf of the Company during the quarter ended December 31, 2012 are set forth in whole shares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7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7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(or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7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part of</w:t>
            </w:r>
          </w:p>
        </w:tc>
        <w:tc>
          <w:tcPr>
            <w:tcW w:w="7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7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60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86"/>
              </w:rPr>
              <w:t>Total Number</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7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60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of Shares</w:t>
            </w:r>
          </w:p>
        </w:tc>
        <w:tc>
          <w:tcPr>
            <w:tcW w:w="16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Average Price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7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the Plans or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4"/>
              </w:rPr>
              <w:t>Purchased (1)</w:t>
            </w:r>
          </w:p>
        </w:tc>
        <w:tc>
          <w:tcPr>
            <w:tcW w:w="16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 Per Share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Programs</w:t>
            </w:r>
          </w:p>
        </w:tc>
        <w:tc>
          <w:tcPr>
            <w:tcW w:w="7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Period:</w:t>
            </w:r>
          </w:p>
        </w:tc>
        <w:tc>
          <w:tcPr>
            <w:tcW w:w="8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5580" w:type="dxa"/>
            <w:vAlign w:val="bottom"/>
            <w:gridSpan w:val="2"/>
          </w:tcPr>
          <w:p>
            <w:pPr>
              <w:ind w:left="420"/>
              <w:spacing w:after="0"/>
              <w:rPr>
                <w:sz w:val="20"/>
                <w:szCs w:val="20"/>
                <w:color w:val="auto"/>
              </w:rPr>
            </w:pPr>
            <w:r>
              <w:rPr>
                <w:rFonts w:ascii="Arial" w:cs="Arial" w:eastAsia="Arial" w:hAnsi="Arial"/>
                <w:sz w:val="18"/>
                <w:szCs w:val="18"/>
                <w:color w:val="auto"/>
              </w:rPr>
              <w:t>October 1, 2012 – October 31, 2012</w:t>
            </w:r>
          </w:p>
        </w:tc>
        <w:tc>
          <w:tcPr>
            <w:tcW w:w="16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November 1, 2012 – November 30, 2012</w:t>
            </w:r>
          </w:p>
        </w:tc>
        <w:tc>
          <w:tcPr>
            <w:tcW w:w="16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5580" w:type="dxa"/>
            <w:vAlign w:val="bottom"/>
            <w:gridSpan w:val="2"/>
          </w:tcPr>
          <w:p>
            <w:pPr>
              <w:ind w:left="420"/>
              <w:spacing w:after="0"/>
              <w:rPr>
                <w:sz w:val="20"/>
                <w:szCs w:val="20"/>
                <w:color w:val="auto"/>
              </w:rPr>
            </w:pPr>
            <w:r>
              <w:rPr>
                <w:rFonts w:ascii="Arial" w:cs="Arial" w:eastAsia="Arial" w:hAnsi="Arial"/>
                <w:sz w:val="18"/>
                <w:szCs w:val="18"/>
                <w:color w:val="auto"/>
              </w:rPr>
              <w:t>December 1, 2012 – December 31, 2012</w:t>
            </w: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63,467</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right="620"/>
              <w:spacing w:after="0"/>
              <w:rPr>
                <w:sz w:val="20"/>
                <w:szCs w:val="20"/>
                <w:color w:val="auto"/>
              </w:rPr>
            </w:pPr>
            <w:r>
              <w:rPr>
                <w:rFonts w:ascii="Arial" w:cs="Arial" w:eastAsia="Arial" w:hAnsi="Arial"/>
                <w:sz w:val="18"/>
                <w:szCs w:val="18"/>
                <w:color w:val="auto"/>
                <w:w w:val="88"/>
              </w:rPr>
              <w:t>12.98</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4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63,467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8"/>
              </w:rPr>
              <w:t>12.98</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Restricted shares withheld to offset tax withholding obligations related to the vesting of restricted shares.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February 1, 2013, the board of directors authorized the repurchase of up to 10.0 million shares of Symetra’s outstanding common stock. Under the stock repurchase program, purchases may be made from time to time in the open market, in accelerated stock buyback arrangements, in privately negotiated transactions or otherwise. The program may be modified, extended or terminated by the board of directors at any time.</w:t>
      </w:r>
    </w:p>
    <w:p>
      <w:pPr>
        <w:spacing w:after="0" w:line="10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timing and amount of any stock repurchases will be determined by management based upon market conditions, regulatory considerations and other factors. Numerous factors could affect the timing and amount of any future repurchases under the stock repurchase program, including capital levels, potential opportunities for growth and acquisitions or other priorities for capital use.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selected financial data, except for non-GAAP financial measures, have been derived from our consolidated financial statements. The consolidated income statement data for the years ended December 31, 2012, 2011 and 2010 and the consolidated balance sheet data as of December 31, 2012 and 2011, except for the non-GAAP financial measures, have been derived from our consolidated financial statements included elsewhere herein. The consolidated income statement data for the years ended December 31, 2009 and 2008 and the consolidated balance sheet data as of December 31, 2010, 2009 and 2008, except for the non-GAAP financial measures, have been derived from the consolidated financial statements not included herein. Historical financial information has been restated to reflect the retrospective adoption of a new accounting standard for deferred acquisition costs on January 1, 2012. See Note 2 to the accompanying consolidated financial statements for discussion of adoption of new accounting pronouncements.</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selected financial data presented below should be read in conjunction with Item 7 — “Management’s Discussion and Analysis of Financial Condition and Results of Operations” and our consolidated financial statements and accompanying notes included elsewhere herein.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ind w:left="580"/>
              <w:spacing w:after="0"/>
              <w:rPr>
                <w:sz w:val="20"/>
                <w:szCs w:val="20"/>
                <w:color w:val="auto"/>
              </w:rPr>
            </w:pPr>
            <w:r>
              <w:rPr>
                <w:rFonts w:ascii="Arial" w:cs="Arial" w:eastAsia="Arial" w:hAnsi="Arial"/>
                <w:sz w:val="14"/>
                <w:szCs w:val="14"/>
                <w:b w:val="1"/>
                <w:bCs w:val="1"/>
                <w:color w:val="auto"/>
                <w:w w:val="87"/>
              </w:rPr>
              <w:t>For the Years Ended December 31,</w:t>
            </w: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gridSpan w:val="7"/>
          </w:tcPr>
          <w:p>
            <w:pPr>
              <w:ind w:left="580"/>
              <w:spacing w:after="0" w:line="129" w:lineRule="exact"/>
              <w:rPr>
                <w:sz w:val="20"/>
                <w:szCs w:val="20"/>
                <w:color w:val="auto"/>
              </w:rPr>
            </w:pPr>
            <w:r>
              <w:rPr>
                <w:rFonts w:ascii="Arial" w:cs="Arial" w:eastAsia="Arial" w:hAnsi="Arial"/>
                <w:sz w:val="14"/>
                <w:szCs w:val="14"/>
                <w:b w:val="1"/>
                <w:bCs w:val="1"/>
                <w:color w:val="auto"/>
                <w:w w:val="87"/>
              </w:rPr>
              <w:t>(In millions, except per share data)</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(As adjusted)</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(As adjusted)</w:t>
            </w:r>
          </w:p>
        </w:tc>
        <w:tc>
          <w:tcPr>
            <w:tcW w:w="2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(As adjusted)</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(As adjusted)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Income Statement Data:</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Revenues: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Premiums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605.0</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473.0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1,275.2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1,270.9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1,199.4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1,113.6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Policy fees, contract charges and other</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Net realized investment gains (losses):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impairment losses recognized in earnings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860"/>
              <w:spacing w:after="0"/>
              <w:rPr>
                <w:sz w:val="20"/>
                <w:szCs w:val="20"/>
                <w:color w:val="auto"/>
              </w:rPr>
            </w:pPr>
            <w:r>
              <w:rPr>
                <w:rFonts w:ascii="Arial" w:cs="Arial" w:eastAsia="Arial" w:hAnsi="Arial"/>
                <w:sz w:val="18"/>
                <w:szCs w:val="18"/>
                <w:color w:val="auto"/>
              </w:rPr>
              <w:t>Other net realized investment gains (losses)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60.1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investment gains (losses)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8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2,101.2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1,999.3</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1,878.8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1,714.0</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1,451.0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Benefits and expenses: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Policyholder benefits and claims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439.0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381.4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335.1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credited</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932.8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Other underwriting and operating expenses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360.5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279.9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273.4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Amortization of deferred policy acquisition costs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benefits and expenses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1,831.1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1,726.1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1,600.5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1,543.1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1,450.6</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 before income taxes</w:t>
            </w: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8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270.1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273.2</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278.3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170.9</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(benefit) for income taxes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80" w:type="dxa"/>
            <w:vAlign w:val="bottom"/>
            <w:gridSpan w:val="2"/>
            <w:vMerge w:val="continue"/>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205.4</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195.8</w:t>
            </w:r>
          </w:p>
        </w:tc>
        <w:tc>
          <w:tcPr>
            <w:tcW w:w="5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193.8</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121.7</w:t>
            </w:r>
          </w:p>
        </w:tc>
        <w:tc>
          <w:tcPr>
            <w:tcW w:w="5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 (1):</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Basic</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1.49</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1.42</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1.43</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common shares outstanding:</w:t>
            </w: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138.018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137.491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135.609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111.622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111.622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138.024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137.503</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135.618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111.626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111.622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0.28</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0.15</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Non-GAAP Financial Measures: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185.3</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167.9</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Adjusted operating income per common share (1)*:</w:t>
            </w: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vMerge w:val="continue"/>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1.34</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1.38</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1.24</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1.27</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233"/>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net income:</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Less: Net realized investment gains (losses) (net of taxes)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 Net realized gains (losses) — FIA (net of taxes)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Adjusted operating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Data: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Separate account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notes payable</w:t>
      </w:r>
    </w:p>
    <w:p>
      <w:pPr>
        <w:spacing w:after="0" w:line="9"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Accumulated other comprehensive income (loss) (net of taxes) (AOCI) Total stockholders’ equity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Statutory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Statutory capital and surplus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 valuation reserve (AVR)</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For the Years Ended December 31,</w:t>
      </w:r>
    </w:p>
    <w:tbl>
      <w:tblPr>
        <w:tblLayout w:type="fixed"/>
        <w:tblInd w:w="0" w:type="dxa"/>
        <w:tblCellMar>
          <w:top w:w="0" w:type="dxa"/>
          <w:left w:w="0" w:type="dxa"/>
          <w:bottom w:w="0" w:type="dxa"/>
          <w:right w:w="0" w:type="dxa"/>
        </w:tblCellMar>
      </w:tblPr>
      <w:tr>
        <w:trPr>
          <w:trHeight w:val="142"/>
        </w:trPr>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r>
      <w:tr>
        <w:trPr>
          <w:trHeight w:val="129"/>
        </w:trPr>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60" w:type="dxa"/>
            <w:vAlign w:val="bottom"/>
            <w:gridSpan w:val="10"/>
          </w:tcPr>
          <w:p>
            <w:pPr>
              <w:jc w:val="center"/>
              <w:ind w:right="460"/>
              <w:spacing w:after="0" w:line="129" w:lineRule="exact"/>
              <w:rPr>
                <w:sz w:val="20"/>
                <w:szCs w:val="20"/>
                <w:color w:val="auto"/>
              </w:rPr>
            </w:pPr>
            <w:r>
              <w:rPr>
                <w:rFonts w:ascii="Arial" w:cs="Arial" w:eastAsia="Arial" w:hAnsi="Arial"/>
                <w:sz w:val="14"/>
                <w:szCs w:val="14"/>
                <w:b w:val="1"/>
                <w:bCs w:val="1"/>
                <w:color w:val="auto"/>
                <w:w w:val="86"/>
              </w:rPr>
              <w:t>(In millions, except per share data)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74"/>
        </w:trPr>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(As adjusted)</w:t>
            </w:r>
          </w:p>
        </w:tc>
        <w:tc>
          <w:tcPr>
            <w:tcW w:w="26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(As adjusted)</w:t>
            </w:r>
          </w:p>
        </w:tc>
        <w:tc>
          <w:tcPr>
            <w:tcW w:w="8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(As adjusted)</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(As adjusted)</w:t>
            </w:r>
          </w:p>
        </w:tc>
      </w:tr>
      <w:tr>
        <w:trPr>
          <w:trHeight w:val="411"/>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205.4</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195.8</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193.8</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121.7</w:t>
            </w:r>
          </w:p>
        </w:tc>
        <w:tc>
          <w:tcPr>
            <w:tcW w:w="4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r>
      <w:tr>
        <w:trPr>
          <w:trHeight w:val="216"/>
        </w:trPr>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(102.8)</w:t>
            </w:r>
          </w:p>
        </w:tc>
      </w:tr>
      <w:tr>
        <w:trPr>
          <w:trHeight w:val="223"/>
        </w:trPr>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185.3</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60" w:type="dxa"/>
            <w:vAlign w:val="bottom"/>
          </w:tcPr>
          <w:p>
            <w:pPr>
              <w:spacing w:after="0"/>
              <w:rPr>
                <w:sz w:val="19"/>
                <w:szCs w:val="19"/>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0"/>
        </w:trPr>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As of December 31,</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r>
      <w:tr>
        <w:trPr>
          <w:trHeight w:val="129"/>
        </w:trPr>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60" w:type="dxa"/>
            <w:vAlign w:val="bottom"/>
            <w:gridSpan w:val="10"/>
          </w:tcPr>
          <w:p>
            <w:pPr>
              <w:jc w:val="center"/>
              <w:ind w:right="460"/>
              <w:spacing w:after="0" w:line="129" w:lineRule="exact"/>
              <w:rPr>
                <w:sz w:val="20"/>
                <w:szCs w:val="20"/>
                <w:color w:val="auto"/>
              </w:rPr>
            </w:pPr>
            <w:r>
              <w:rPr>
                <w:rFonts w:ascii="Arial" w:cs="Arial" w:eastAsia="Arial" w:hAnsi="Arial"/>
                <w:sz w:val="14"/>
                <w:szCs w:val="14"/>
                <w:b w:val="1"/>
                <w:bCs w:val="1"/>
                <w:color w:val="auto"/>
                <w:w w:val="86"/>
              </w:rPr>
              <w:t>(In millions, except per share data)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74"/>
        </w:trPr>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(As adjusted)</w:t>
            </w:r>
          </w:p>
        </w:tc>
        <w:tc>
          <w:tcPr>
            <w:tcW w:w="26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(As adjusted)</w:t>
            </w:r>
          </w:p>
        </w:tc>
        <w:tc>
          <w:tcPr>
            <w:tcW w:w="8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(As adjusted)</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(As adjusted)</w:t>
            </w:r>
          </w:p>
        </w:tc>
      </w:tr>
      <w:tr>
        <w:trPr>
          <w:trHeight w:val="411"/>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27,556.4</w:t>
            </w:r>
          </w:p>
        </w:tc>
        <w:tc>
          <w:tcPr>
            <w:tcW w:w="1340" w:type="dxa"/>
            <w:vAlign w:val="bottom"/>
            <w:gridSpan w:val="4"/>
          </w:tcPr>
          <w:p>
            <w:pPr>
              <w:jc w:val="right"/>
              <w:ind w:right="180"/>
              <w:spacing w:after="0"/>
              <w:rPr>
                <w:sz w:val="20"/>
                <w:szCs w:val="20"/>
                <w:color w:val="auto"/>
              </w:rPr>
            </w:pPr>
            <w:r>
              <w:rPr>
                <w:rFonts w:ascii="Arial" w:cs="Arial" w:eastAsia="Arial" w:hAnsi="Arial"/>
                <w:sz w:val="18"/>
                <w:szCs w:val="18"/>
                <w:color w:val="auto"/>
              </w:rPr>
              <w:t>$ 26,171.7</w:t>
            </w:r>
          </w:p>
        </w:tc>
        <w:tc>
          <w:tcPr>
            <w:tcW w:w="1340" w:type="dxa"/>
            <w:vAlign w:val="bottom"/>
            <w:gridSpan w:val="4"/>
          </w:tcPr>
          <w:p>
            <w:pPr>
              <w:jc w:val="right"/>
              <w:ind w:right="300"/>
              <w:spacing w:after="0"/>
              <w:rPr>
                <w:sz w:val="20"/>
                <w:szCs w:val="20"/>
                <w:color w:val="auto"/>
              </w:rPr>
            </w:pPr>
            <w:r>
              <w:rPr>
                <w:rFonts w:ascii="Arial" w:cs="Arial" w:eastAsia="Arial" w:hAnsi="Arial"/>
                <w:sz w:val="18"/>
                <w:szCs w:val="18"/>
                <w:color w:val="auto"/>
              </w:rPr>
              <w:t>$ 23,500.2</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98"/>
              </w:rPr>
              <w:t>$ 20,181.0</w:t>
            </w:r>
          </w:p>
        </w:tc>
        <w:tc>
          <w:tcPr>
            <w:tcW w:w="440" w:type="dxa"/>
            <w:vAlign w:val="bottom"/>
          </w:tcPr>
          <w:p>
            <w:pPr>
              <w:spacing w:after="0"/>
              <w:rPr>
                <w:sz w:val="24"/>
                <w:szCs w:val="24"/>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$ 16,252.5</w:t>
            </w:r>
          </w:p>
        </w:tc>
      </w:tr>
      <w:tr>
        <w:trPr>
          <w:trHeight w:val="216"/>
        </w:trPr>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807.7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795.8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881.7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840.1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716.2</w:t>
            </w:r>
          </w:p>
        </w:tc>
      </w:tr>
      <w:tr>
        <w:trPr>
          <w:trHeight w:val="216"/>
        </w:trPr>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29,460.9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28,183.3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25,600.0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22,415.5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19,213.5</w:t>
            </w:r>
          </w:p>
        </w:tc>
      </w:tr>
      <w:tr>
        <w:trPr>
          <w:trHeight w:val="216"/>
        </w:trPr>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449.4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449.2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449.0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448.9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448.8</w:t>
            </w:r>
          </w:p>
        </w:tc>
      </w:tr>
      <w:tr>
        <w:trPr>
          <w:trHeight w:val="216"/>
        </w:trPr>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1,371.2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1,027.3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437.6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7"/>
              </w:rPr>
              <w:t>(1,053.3)</w:t>
            </w:r>
          </w:p>
        </w:tc>
      </w:tr>
      <w:tr>
        <w:trPr>
          <w:trHeight w:val="222"/>
        </w:trPr>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3,630.1</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3,114.9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2,356.6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1,413.4</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270.1</w:t>
            </w:r>
          </w:p>
        </w:tc>
      </w:tr>
      <w:tr>
        <w:trPr>
          <w:trHeight w:val="426"/>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1,912.6</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1,822.8</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1,752.3</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1,415.4</w:t>
            </w:r>
          </w:p>
        </w:tc>
        <w:tc>
          <w:tcPr>
            <w:tcW w:w="4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1,179.0</w:t>
            </w:r>
          </w:p>
        </w:tc>
      </w:tr>
      <w:tr>
        <w:trPr>
          <w:trHeight w:val="222"/>
        </w:trPr>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261.3</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220.7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185.1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120.5</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-2639695</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-2364740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-2073275</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-1370330</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-1096010</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-821055</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-546735</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-272415</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120" w:space="720"/>
            <w:col w:w="55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Statutory book value</w:t>
            </w:r>
          </w:p>
        </w:tc>
        <w:tc>
          <w:tcPr>
            <w:tcW w:w="980" w:type="dxa"/>
            <w:vAlign w:val="bottom"/>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2,173.9</w:t>
            </w:r>
          </w:p>
        </w:tc>
        <w:tc>
          <w:tcPr>
            <w:tcW w:w="380" w:type="dxa"/>
            <w:vAlign w:val="bottom"/>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2,043.5</w:t>
            </w:r>
          </w:p>
        </w:tc>
        <w:tc>
          <w:tcPr>
            <w:tcW w:w="440" w:type="dxa"/>
            <w:vAlign w:val="bottom"/>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1,937.4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1,535.9</w:t>
            </w:r>
          </w:p>
        </w:tc>
        <w:tc>
          <w:tcPr>
            <w:tcW w:w="440" w:type="dxa"/>
            <w:vAlign w:val="bottom"/>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Book value per common share (2)</w:t>
            </w: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vMerge w:val="continue"/>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26.29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22.64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17.18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12.65</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Financial Measures: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Adjusted book value*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2,258.9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96"/>
              </w:rPr>
              <w:t>2,087.6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1,919.0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1,461.0</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1,323.4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to stockholders’ equity:</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Total stockholders’ equity</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3,630.1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96"/>
              </w:rPr>
              <w:t>3,114.9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2,356.6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1,413.4</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AOCI</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1,371.2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1,027.3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(1,053.3)</w:t>
            </w:r>
          </w:p>
        </w:tc>
        <w:tc>
          <w:tcPr>
            <w:tcW w:w="0" w:type="dxa"/>
            <w:vAlign w:val="bottom"/>
          </w:tcPr>
          <w:p>
            <w:pPr>
              <w:spacing w:after="0"/>
              <w:rPr>
                <w:sz w:val="1"/>
                <w:szCs w:val="1"/>
                <w:color w:val="auto"/>
              </w:rPr>
            </w:pP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Adjusted book value*</w:t>
            </w:r>
          </w:p>
        </w:tc>
        <w:tc>
          <w:tcPr>
            <w:tcW w:w="9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2,258.9</w:t>
            </w:r>
          </w:p>
        </w:tc>
        <w:tc>
          <w:tcPr>
            <w:tcW w:w="3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2,087.6</w:t>
            </w:r>
          </w:p>
        </w:tc>
        <w:tc>
          <w:tcPr>
            <w:tcW w:w="4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1,919.0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1,461.0</w:t>
            </w:r>
          </w:p>
        </w:tc>
        <w:tc>
          <w:tcPr>
            <w:tcW w:w="4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Assumed proceeds from exercise of warrants</w:t>
            </w:r>
          </w:p>
        </w:tc>
        <w:tc>
          <w:tcPr>
            <w:tcW w:w="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Adjusted book value, as converted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2,477.0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96"/>
              </w:rPr>
              <w:t>2,305.7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2,137.1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1,679.1</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1,541.5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Adjusted book value per common share (3)*</w:t>
            </w:r>
          </w:p>
        </w:tc>
        <w:tc>
          <w:tcPr>
            <w:tcW w:w="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Adjusted book value per common share, as converted (2)*</w:t>
            </w: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60" w:type="dxa"/>
            <w:vAlign w:val="bottom"/>
            <w:vMerge w:val="continue"/>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17.94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16.75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15.58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15.03</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6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For the Years Ended December 31,</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35"/>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2011</w:t>
            </w:r>
          </w:p>
        </w:tc>
        <w:tc>
          <w:tcPr>
            <w:tcW w:w="7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875"/>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15"/>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129"/>
        </w:trPr>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980" w:type="dxa"/>
            <w:vAlign w:val="bottom"/>
            <w:gridSpan w:val="4"/>
          </w:tcPr>
          <w:p>
            <w:pPr>
              <w:ind w:left="740"/>
              <w:spacing w:after="0" w:line="129" w:lineRule="exact"/>
              <w:rPr>
                <w:sz w:val="20"/>
                <w:szCs w:val="20"/>
                <w:color w:val="auto"/>
              </w:rPr>
            </w:pPr>
            <w:r>
              <w:rPr>
                <w:rFonts w:ascii="Arial" w:cs="Arial" w:eastAsia="Arial" w:hAnsi="Arial"/>
                <w:sz w:val="14"/>
                <w:szCs w:val="14"/>
                <w:b w:val="1"/>
                <w:bCs w:val="1"/>
                <w:color w:val="auto"/>
                <w:w w:val="90"/>
              </w:rPr>
              <w:t>(In millions, unless otherwise stated)</w:t>
            </w: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61"/>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(As adjusted)</w:t>
            </w:r>
          </w:p>
        </w:tc>
        <w:tc>
          <w:tcPr>
            <w:tcW w:w="2040" w:type="dxa"/>
            <w:vAlign w:val="bottom"/>
            <w:gridSpan w:val="2"/>
          </w:tcPr>
          <w:p>
            <w:pPr>
              <w:ind w:left="560"/>
              <w:spacing w:after="0"/>
              <w:rPr>
                <w:sz w:val="20"/>
                <w:szCs w:val="20"/>
                <w:color w:val="auto"/>
              </w:rPr>
            </w:pPr>
            <w:r>
              <w:rPr>
                <w:rFonts w:ascii="Arial" w:cs="Arial" w:eastAsia="Arial" w:hAnsi="Arial"/>
                <w:sz w:val="14"/>
                <w:szCs w:val="14"/>
                <w:b w:val="1"/>
                <w:bCs w:val="1"/>
                <w:color w:val="auto"/>
              </w:rPr>
              <w:t>(As adjusted)</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(As adjusted)</w:t>
            </w:r>
          </w:p>
        </w:tc>
        <w:tc>
          <w:tcPr>
            <w:tcW w:w="1260" w:type="dxa"/>
            <w:vAlign w:val="bottom"/>
            <w:gridSpan w:val="3"/>
          </w:tcPr>
          <w:p>
            <w:pPr>
              <w:ind w:left="280"/>
              <w:spacing w:after="0"/>
              <w:rPr>
                <w:sz w:val="20"/>
                <w:szCs w:val="20"/>
                <w:color w:val="auto"/>
              </w:rPr>
            </w:pPr>
            <w:r>
              <w:rPr>
                <w:rFonts w:ascii="Arial" w:cs="Arial" w:eastAsia="Arial" w:hAnsi="Arial"/>
                <w:sz w:val="14"/>
                <w:szCs w:val="14"/>
                <w:b w:val="1"/>
                <w:bCs w:val="1"/>
                <w:color w:val="auto"/>
              </w:rPr>
              <w:t>(As adjusted)</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Return on stockholders’ equity, or ROE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6.1%</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7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14.9%</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55"/>
              <w:spacing w:after="0"/>
              <w:rPr>
                <w:sz w:val="20"/>
                <w:szCs w:val="20"/>
                <w:color w:val="auto"/>
              </w:rPr>
            </w:pPr>
            <w:r>
              <w:rPr>
                <w:rFonts w:ascii="Arial" w:cs="Arial" w:eastAsia="Arial" w:hAnsi="Arial"/>
                <w:sz w:val="18"/>
                <w:szCs w:val="18"/>
                <w:color w:val="auto"/>
              </w:rPr>
              <w:t>205.4</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7"/>
              <w:spacing w:after="0"/>
              <w:rPr>
                <w:sz w:val="20"/>
                <w:szCs w:val="20"/>
                <w:color w:val="auto"/>
              </w:rPr>
            </w:pPr>
            <w:r>
              <w:rPr>
                <w:rFonts w:ascii="Arial" w:cs="Arial" w:eastAsia="Arial" w:hAnsi="Arial"/>
                <w:sz w:val="18"/>
                <w:szCs w:val="18"/>
                <w:color w:val="auto"/>
              </w:rPr>
              <w:t>195.8</w:t>
            </w:r>
          </w:p>
        </w:tc>
        <w:tc>
          <w:tcPr>
            <w:tcW w:w="720" w:type="dxa"/>
            <w:vAlign w:val="bottom"/>
          </w:tcPr>
          <w:p>
            <w:pPr>
              <w:ind w:left="5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15"/>
              <w:spacing w:after="0"/>
              <w:rPr>
                <w:sz w:val="20"/>
                <w:szCs w:val="20"/>
                <w:color w:val="auto"/>
              </w:rPr>
            </w:pPr>
            <w:r>
              <w:rPr>
                <w:rFonts w:ascii="Arial" w:cs="Arial" w:eastAsia="Arial" w:hAnsi="Arial"/>
                <w:sz w:val="18"/>
                <w:szCs w:val="18"/>
                <w:color w:val="auto"/>
              </w:rPr>
              <w:t>193.8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5"/>
              <w:spacing w:after="0"/>
              <w:rPr>
                <w:sz w:val="20"/>
                <w:szCs w:val="20"/>
                <w:color w:val="auto"/>
              </w:rPr>
            </w:pPr>
            <w:r>
              <w:rPr>
                <w:rFonts w:ascii="Arial" w:cs="Arial" w:eastAsia="Arial" w:hAnsi="Arial"/>
                <w:sz w:val="18"/>
                <w:szCs w:val="18"/>
                <w:color w:val="auto"/>
              </w:rPr>
              <w:t>121.7</w:t>
            </w:r>
          </w:p>
        </w:tc>
        <w:tc>
          <w:tcPr>
            <w:tcW w:w="460" w:type="dxa"/>
            <w:vAlign w:val="bottom"/>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Average stockholders’ equity</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w w:val="83"/>
              </w:rPr>
              <w:t>3,383.9</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96"/>
              </w:rPr>
              <w:t>2,710.2</w:t>
            </w:r>
          </w:p>
        </w:tc>
        <w:tc>
          <w:tcPr>
            <w:tcW w:w="7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w w:val="99"/>
              </w:rPr>
              <w:t>2,147.2</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815.6</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852.8</w:t>
            </w:r>
          </w:p>
        </w:tc>
      </w:tr>
      <w:tr>
        <w:trPr>
          <w:trHeight w:val="216"/>
        </w:trPr>
        <w:tc>
          <w:tcPr>
            <w:tcW w:w="4640" w:type="dxa"/>
            <w:vAlign w:val="bottom"/>
          </w:tcPr>
          <w:p>
            <w:pPr>
              <w:spacing w:after="0"/>
              <w:rPr>
                <w:sz w:val="20"/>
                <w:szCs w:val="20"/>
                <w:color w:val="auto"/>
              </w:rPr>
            </w:pPr>
            <w:r>
              <w:rPr>
                <w:rFonts w:ascii="Arial" w:cs="Arial" w:eastAsia="Arial" w:hAnsi="Arial"/>
                <w:sz w:val="18"/>
                <w:szCs w:val="18"/>
                <w:b w:val="1"/>
                <w:bCs w:val="1"/>
                <w:color w:val="auto"/>
              </w:rPr>
              <w:t>Non-GAAP Financial Measures: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return on average equity, or ROAE*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8.5%</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7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10.2%</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Adjusted 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55"/>
              <w:spacing w:after="0"/>
              <w:rPr>
                <w:sz w:val="20"/>
                <w:szCs w:val="20"/>
                <w:color w:val="auto"/>
              </w:rPr>
            </w:pPr>
            <w:r>
              <w:rPr>
                <w:rFonts w:ascii="Arial" w:cs="Arial" w:eastAsia="Arial" w:hAnsi="Arial"/>
                <w:sz w:val="18"/>
                <w:szCs w:val="18"/>
                <w:color w:val="auto"/>
              </w:rPr>
              <w:t>185.3</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7"/>
              <w:spacing w:after="0"/>
              <w:rPr>
                <w:sz w:val="20"/>
                <w:szCs w:val="20"/>
                <w:color w:val="auto"/>
              </w:rPr>
            </w:pPr>
            <w:r>
              <w:rPr>
                <w:rFonts w:ascii="Arial" w:cs="Arial" w:eastAsia="Arial" w:hAnsi="Arial"/>
                <w:sz w:val="18"/>
                <w:szCs w:val="18"/>
                <w:color w:val="auto"/>
              </w:rPr>
              <w:t>190.2</w:t>
            </w:r>
          </w:p>
        </w:tc>
        <w:tc>
          <w:tcPr>
            <w:tcW w:w="720" w:type="dxa"/>
            <w:vAlign w:val="bottom"/>
          </w:tcPr>
          <w:p>
            <w:pPr>
              <w:ind w:left="5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15"/>
              <w:spacing w:after="0"/>
              <w:rPr>
                <w:sz w:val="20"/>
                <w:szCs w:val="20"/>
                <w:color w:val="auto"/>
              </w:rPr>
            </w:pPr>
            <w:r>
              <w:rPr>
                <w:rFonts w:ascii="Arial" w:cs="Arial" w:eastAsia="Arial" w:hAnsi="Arial"/>
                <w:sz w:val="18"/>
                <w:szCs w:val="18"/>
                <w:color w:val="auto"/>
              </w:rPr>
              <w:t>167.9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5"/>
              <w:spacing w:after="0"/>
              <w:rPr>
                <w:sz w:val="20"/>
                <w:szCs w:val="20"/>
                <w:color w:val="auto"/>
              </w:rPr>
            </w:pPr>
            <w:r>
              <w:rPr>
                <w:rFonts w:ascii="Arial" w:cs="Arial" w:eastAsia="Arial" w:hAnsi="Arial"/>
                <w:sz w:val="18"/>
                <w:szCs w:val="18"/>
                <w:color w:val="auto"/>
              </w:rPr>
              <w:t>141.6</w:t>
            </w:r>
          </w:p>
        </w:tc>
        <w:tc>
          <w:tcPr>
            <w:tcW w:w="460" w:type="dxa"/>
            <w:vAlign w:val="bottom"/>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114.8</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Average adjusted book value*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w w:val="83"/>
              </w:rPr>
              <w:t>2,185.7</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96"/>
              </w:rPr>
              <w:t>2,002.4</w:t>
            </w:r>
          </w:p>
        </w:tc>
        <w:tc>
          <w:tcPr>
            <w:tcW w:w="7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w w:val="99"/>
              </w:rPr>
              <w:t>1,772.0</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w w:val="96"/>
              </w:rPr>
              <w:t>1,391.0</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1,320.9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a non-GAAP measure. For a definition of these measures, see Item 7 — “Management’s Discussion and Analysis of Financial Condition and</w:t>
      </w:r>
    </w:p>
    <w:p>
      <w:pPr>
        <w:spacing w:after="0" w:line="248" w:lineRule="exact"/>
        <w:rPr>
          <w:sz w:val="20"/>
          <w:szCs w:val="20"/>
          <w:color w:val="auto"/>
        </w:rPr>
      </w:pPr>
    </w:p>
    <w:p>
      <w:pPr>
        <w:ind w:left="460" w:right="60" w:hanging="452"/>
        <w:spacing w:after="0" w:line="252"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Basic and diluted net income and adjusted operating income per common share include all participating securities, such as warrants and unvested restricted shares, based on the application of the two-class method. Diluted net income and adjusted operating income per common share also include the dilutive impact of non-participating securities, to the extent dilutive, such as stock options and shares estimated to be issued under the employee stock purchase plan, based on application of the treasury stock method.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Outstanding common shares and shares subject to outstanding warrants totaled 138.064 as of December 31, 2012, 137.613 as of December 31, 2011,</w:t>
      </w:r>
    </w:p>
    <w:p>
      <w:pPr>
        <w:spacing w:after="0" w:line="32" w:lineRule="exact"/>
        <w:rPr>
          <w:rFonts w:ascii="Arial" w:cs="Arial" w:eastAsia="Arial" w:hAnsi="Arial"/>
          <w:sz w:val="16"/>
          <w:szCs w:val="16"/>
          <w:color w:val="auto"/>
        </w:rPr>
      </w:pPr>
    </w:p>
    <w:p>
      <w:pPr>
        <w:ind w:left="460" w:right="260"/>
        <w:spacing w:after="0" w:line="250" w:lineRule="auto"/>
        <w:rPr>
          <w:rFonts w:ascii="Arial" w:cs="Arial" w:eastAsia="Arial" w:hAnsi="Arial"/>
          <w:sz w:val="16"/>
          <w:szCs w:val="16"/>
          <w:color w:val="auto"/>
        </w:rPr>
      </w:pPr>
      <w:r>
        <w:rPr>
          <w:rFonts w:ascii="Arial" w:cs="Arial" w:eastAsia="Arial" w:hAnsi="Arial"/>
          <w:sz w:val="18"/>
          <w:szCs w:val="18"/>
          <w:color w:val="auto"/>
        </w:rPr>
        <w:t>137.192 as of December 31, 2010, 111.705 as of December 31, 2009 and 111.622 as of December 31, 2008. The warrants, which expire in August 2014, have an exercise price of $11.49.</w:t>
      </w:r>
    </w:p>
    <w:p>
      <w:pPr>
        <w:ind w:left="460" w:right="180" w:hanging="452"/>
        <w:spacing w:after="0" w:line="261"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Outstanding common shares totaled 119.088 as of December 31, 2012, 118.637 as of December 31, 2011, 118.216 as of December 31, 2010, 92.729 as of December 31, 2009 and 92.646 as of December 31, 2008.</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jc w:val="both"/>
        <w:ind w:right="20" w:firstLine="456"/>
        <w:spacing w:after="0" w:line="255" w:lineRule="auto"/>
        <w:rPr>
          <w:sz w:val="20"/>
          <w:szCs w:val="20"/>
          <w:color w:val="auto"/>
        </w:rPr>
      </w:pPr>
      <w:r>
        <w:rPr>
          <w:rFonts w:ascii="Arial" w:cs="Arial" w:eastAsia="Arial" w:hAnsi="Arial"/>
          <w:sz w:val="18"/>
          <w:szCs w:val="18"/>
          <w:i w:val="1"/>
          <w:iCs w:val="1"/>
          <w:color w:val="auto"/>
        </w:rPr>
        <w:t>This discussion contains forward-looking statements that involve risk and uncertainties. Our actual results may differ materially from those discussed in or implied by any of the forward-looking statements as a result of various factors, including but not limited to those listed under “Forward-Looking Statements” and Item 1A — “Risk Factors.” You should read the following discussion in conjunction with the consolidated financial statements in Item 8 – “Financial Statements and Supplementary Data” and the discussion under Item 6 — “Selected Financial Data” included in this Form 10-K, as well as our current reports on Form 8-K and other publicly available information.</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Management considers certain non-GAAP financial measures, including adjusted operating income; adjusted operating income per common share; pre-tax adjusted operating income; adjusted book value; adjusted book value, as converted; adjusted book value per common share; adjusted book value per common share, as converted; average adjusted book value; and operating return on average equity (ROAE) to be useful to investors in evaluating our financial performance and condition. These measures have been reconciled to their most comparable GAAP financial measures. For a definition of these non-GAAP measures, see “— Use of non-GAAP Financial Measures.”</w:t>
      </w:r>
    </w:p>
    <w:p>
      <w:pPr>
        <w:spacing w:after="0" w:line="14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i w:val="1"/>
          <w:iCs w:val="1"/>
          <w:color w:val="auto"/>
        </w:rPr>
        <w:t>Historical financial information has been restated to reflect the retrospective adoption of a new accounting standard for deferred acquisition costs on January 1, 2012. See Note 2 to the accompanying consolidated financial statements for discussion of adoption of new accounting pronouncements.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 amounts, except share and per share data, are in millions unless otherwise stated.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are a financial services company in the life insurance industry providing employee benefits, annuities and life insurance through a national network of benefits consultants, financial institutions and independent agents and advisers. Our operations date back to 1957, and many of our distribution relationships have been in place for decades.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manage our business through three divisions composed of four business segments. See Note 19 to the consolidated financial statements for financial results of our segments.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Benefits Division</w:t>
      </w:r>
    </w:p>
    <w:p>
      <w:pPr>
        <w:spacing w:after="0" w:line="90" w:lineRule="exact"/>
        <w:rPr>
          <w:sz w:val="20"/>
          <w:szCs w:val="20"/>
          <w:color w:val="auto"/>
        </w:rPr>
      </w:pPr>
    </w:p>
    <w:p>
      <w:pPr>
        <w:ind w:left="900" w:right="12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Benefits. </w:t>
      </w:r>
      <w:r>
        <w:rPr>
          <w:rFonts w:ascii="Arial" w:cs="Arial" w:eastAsia="Arial" w:hAnsi="Arial"/>
          <w:sz w:val="18"/>
          <w:szCs w:val="18"/>
          <w:color w:val="auto"/>
        </w:rPr>
        <w:t>We offer medical stop-loss, limited benefit medical and group life and disability insurance products and services to employers, unions,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agencies.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Retirement Division</w:t>
      </w:r>
    </w:p>
    <w:p>
      <w:pPr>
        <w:spacing w:after="0" w:line="9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Deferred Annuities. </w:t>
      </w:r>
      <w:r>
        <w:rPr>
          <w:rFonts w:ascii="Arial" w:cs="Arial" w:eastAsia="Arial" w:hAnsi="Arial"/>
          <w:sz w:val="16"/>
          <w:szCs w:val="16"/>
          <w:color w:val="auto"/>
        </w:rPr>
        <w:t>We offer fixed and variable deferred annuities to consumers who want to accumulate tax-deferred assets for retirement.</w:t>
      </w:r>
    </w:p>
    <w:p>
      <w:pPr>
        <w:spacing w:after="0" w:line="113" w:lineRule="exact"/>
        <w:rPr>
          <w:rFonts w:ascii="Arial" w:cs="Arial" w:eastAsia="Arial" w:hAnsi="Arial"/>
          <w:sz w:val="16"/>
          <w:szCs w:val="16"/>
          <w:color w:val="auto"/>
        </w:rPr>
      </w:pPr>
    </w:p>
    <w:p>
      <w:pPr>
        <w:ind w:left="900" w:right="120" w:hanging="325"/>
        <w:spacing w:after="0" w:line="256"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Income Annuities. </w:t>
      </w:r>
      <w:r>
        <w:rPr>
          <w:rFonts w:ascii="Arial" w:cs="Arial" w:eastAsia="Arial" w:hAnsi="Arial"/>
          <w:sz w:val="18"/>
          <w:szCs w:val="18"/>
          <w:color w:val="auto"/>
        </w:rPr>
        <w:t>We offer SPIAs to customers seeking a reliable source of retirement income or to protect against outliving their assets during</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In addition, through 2012, we offered structured settlement annuities to fund third party personal injury settlements. In the fourth quarter of 2012, we discontinued future sales of structured settlement annuities. We continue to service our block of structured settlement policies and offer funding services options to existing structured settlement clients.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Individual Life Division</w:t>
      </w:r>
    </w:p>
    <w:p>
      <w:pPr>
        <w:spacing w:after="0" w:line="90" w:lineRule="exact"/>
        <w:rPr>
          <w:sz w:val="20"/>
          <w:szCs w:val="20"/>
          <w:color w:val="auto"/>
        </w:rPr>
      </w:pPr>
    </w:p>
    <w:p>
      <w:pPr>
        <w:ind w:left="900" w:right="6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Individual Life. </w:t>
      </w:r>
      <w:r>
        <w:rPr>
          <w:rFonts w:ascii="Arial" w:cs="Arial" w:eastAsia="Arial" w:hAnsi="Arial"/>
          <w:sz w:val="18"/>
          <w:szCs w:val="18"/>
          <w:color w:val="auto"/>
        </w:rPr>
        <w:t>We offer an array of insurance products such as term and universal life insurance, including BOLI. In 2012, we began to offer COLI,</w:t>
      </w:r>
      <w:r>
        <w:rPr>
          <w:rFonts w:ascii="Arial" w:cs="Arial" w:eastAsia="Arial" w:hAnsi="Arial"/>
          <w:sz w:val="18"/>
          <w:szCs w:val="18"/>
          <w:i w:val="1"/>
          <w:iCs w:val="1"/>
          <w:color w:val="auto"/>
        </w:rPr>
        <w:t xml:space="preserve"> </w:t>
      </w:r>
      <w:r>
        <w:rPr>
          <w:rFonts w:ascii="Arial" w:cs="Arial" w:eastAsia="Arial" w:hAnsi="Arial"/>
          <w:sz w:val="18"/>
          <w:szCs w:val="18"/>
          <w:color w:val="auto"/>
        </w:rPr>
        <w:t>although no policies were sold.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we also have our Other segment which includes our operations that are not directly related to the operating segments. This includes small, non-insurance businesses that are managed outside our divisions, such as our broker-dealer entity, as well as investment income on unallocated surplus, unallocated corporate expenses, interest expense on debt, earnings related to our limited partnership interests and inter-segment elimination entries.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Outlook, Economic Factors and Trends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level and movement of interest rates are among the most important economic factors that we must consider in the management of the Company and establishment of future strategic direction. We continue to be impacted by the low interest rate environment in the U.S. Interest rates have been held to historically low levels by the Federal Reserve in an effort to drive a stronger economic recovery. In December 2012, the Federal Reserve announced plans to purchase longer-term U.S. Treasury securities outright, at a pace of $45 billion per month. Furthermore, they reaffirmed plans to continue purchasing additional agency mortgage-backed securities at a pace of $40 billion per month. This announcement followed the conclusion of “Operation Twist”, which involved buying longer-term U.S. Treasury securities and simultaneously selling shorter-dated issues in order to bring down interest rates. These programs place downward pressure on interest rates, and the Federal Reserve intends to keep rates low until certain economic indicators are met, including a reduction in the unemployment rate. Although we have seen slight increases in interest rates in early 2013, as the ten-year Treasury rate reached 2.0%, we expect interest rates to remain low throughout 2013 and into 2014.</w:t>
      </w:r>
    </w:p>
    <w:p>
      <w:pPr>
        <w:spacing w:after="0" w:line="120"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The low interest rate environment compresses margins on our annuity and life insurance businesses and slows our pace of growth. Our fixed annuity, SPIA, universal life and BOLI products expose us to the risk that declines in interest rates will reduce our interest spread, or the difference between the investment yield we earn and the interest rate we credit to policyholders on our products. Low interest rates have also had, and will continue to have, a negative impact on sales of these products, and may cause us to suspend sales of certain products. We experienced a nearly 40% decrease in sales in our Deferred Annuities segment in 2012 compared to 2011, which we believe was primarily driven by the low interest rate environment.</w:t>
      </w:r>
    </w:p>
    <w:p>
      <w:pPr>
        <w:spacing w:after="0" w:line="11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To manage our investment yield in this environment, we plan to continue investing in commercial mortgage loans we underwrite, as well as increase our investments in foreign securities. During 2012, we originated $825.7 in commercial mortgage loans and we expect to continue at least this pace of originations during 2013. While interest rates on recently written loans have decreased consistent with the overall level of interest rates, they continue to be an attractive investment opportunity. We also expect to modestly increase our investments in foreign securities, as we believe this asset class has quality investment opportunities that offer attractive yields. We purchased $156.1 of foreign fixed maturity securities in the fourth quarter of 2012</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investment yield is impacted by investment prepayments and by normal reinvestment of cash flows from our investment portfolio. We believe the low interest rate environment makes it relatively attractive for bond issuers to prepay their bonds and refinance at lower market rates. We may receive fees related to these prepayments, which are recorded in net investment income. Such fees help maintain current period yields; however, reinvestment of the proceeds and other cash flows generated by our portfolios at current market rates will result in lower investment income in the future. We estimate that we will reinvest approximately $750.0 – $800.0 of cash flows from our current portfolio in 2013. In addition, we have been selling lower yielding, higher premium agency RMBS where the prepayment characteristics of the securities have deteriorated. During 2012, we sold $382.7 of these assets. In doing so, we were able to produce realized gains while reducing our future reinvestment risk. We will remain proactive in managing our prepayment and reinvestment risk in 2013.</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In addition to investment strategies, we attempt to mitigate the negative impact of the low interest rate environment through disciplined pricing on new business and managing renewal crediting rates on existing business. For many of our products, we are able to decrease interest crediting rates. However, in a prolonged low interest rate environment, the following factors may cause our interest spread to decrease:</w:t>
      </w:r>
    </w:p>
    <w:p>
      <w:pPr>
        <w:spacing w:after="0" w:line="26" w:lineRule="exact"/>
        <w:rPr>
          <w:sz w:val="20"/>
          <w:szCs w:val="20"/>
          <w:color w:val="auto"/>
        </w:rPr>
      </w:pPr>
    </w:p>
    <w:p>
      <w:pPr>
        <w:ind w:left="900" w:right="28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lower interest crediting rates could be limited by competition, regulatory approval, or contractual guarantees of minimum rates, and may not match the timing or magnitude of changes in asset yields.</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certain older in-force business that offers higher guaranteed interest rates, and we anticipate policyholder lapses on these contracts may be lower than expected.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are unable to reduce the benefit payments on our immediate annuities.</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To manage our way through this uncertain environment and grow profitably, we will continue to focus on the strategies outlined in Item 1 — “Business — Our Business.” Our 2013 focus is on profitable growth of our core businesses and executing on our strategic initiatives. We believe we have adequate levels of capital to support our priorities – organic growth, transactional growth and capital actions. Opportunities for organic growth of our business and for strategic transactions have arisen as major players in the life insurance industry have exited or announced plans to exit the life and annuities marketplace. To provide us with greater flexibility to execute on our capital management plans, our board of directors recently authorized the repurchase of up to 10.0 shares of our outstanding common stock.</w:t>
      </w:r>
    </w:p>
    <w:p>
      <w:pPr>
        <w:spacing w:after="0" w:line="1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success of our business and the successful execution of our strategies may be affected by the factors discussed in Item 1A — “Risk Factors” and other factors as discussed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The preparation of financial statements in conformity with U.S. GAAP requires management to adopt accounting policies and make estimates and assumptions that affect amounts reported and disclosed in the consolidated financial statements. The accounting policies discussed in this section are those that we consider to be particularly critical to understanding our consolidated financial statements because their application places the most significant demands on our ability to judge the effect of inherently uncertain matters on our financial results and requires management to make subjective and complex judgments. Many of these policies, estimates and related judgments are common in the insurance and financial services industries; others are specific to the Company’s businesses and operations. For all of these policies, we caution that future events rarely develop exactly as forecast, and our best estimates may require adjustment.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at Fair Value</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carry certain assets on our consolidated balance sheets at fair value. Fair value is defined as the price that would be received to sell an asset or paid to transfer a liability in an orderly transaction between market participants (an “exit price”). U.S. GAAP establishes a fair value hierarchy that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The level in the fair value hierarchy within which the fair value measurement falls is determined based on the lowest level input that is significant to the fair value measurement. For further discussion of the levels of the fair value hierarchy, see Note 6 to the consolidated financial statements.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The availability of market observable information is the principal factor in determining the level that our investments are assigned in the fair value hierarchy. The following table summarizes our assets carried at fair value and the respective fair value hierarchy, based on input levels: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9"/>
              </w:rPr>
              <w:t>As of December 31, 2012</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4"/>
              </w:rPr>
              <w:t>Level 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46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Arial" w:cs="Arial" w:eastAsia="Arial" w:hAnsi="Arial"/>
                <w:sz w:val="14"/>
                <w:szCs w:val="14"/>
                <w:b w:val="1"/>
                <w:bCs w:val="1"/>
                <w:color w:val="auto"/>
                <w:w w:val="90"/>
              </w:rPr>
              <w:t>Level 3 %</w:t>
            </w:r>
          </w:p>
        </w:tc>
        <w:tc>
          <w:tcPr>
            <w:tcW w:w="200" w:type="dxa"/>
            <w:vAlign w:val="bottom"/>
          </w:tcPr>
          <w:p>
            <w:pPr>
              <w:spacing w:after="0"/>
              <w:rPr>
                <w:sz w:val="12"/>
                <w:szCs w:val="12"/>
                <w:color w:val="auto"/>
              </w:rPr>
            </w:pPr>
          </w:p>
        </w:tc>
      </w:tr>
      <w:tr>
        <w:trPr>
          <w:trHeight w:val="196"/>
        </w:trPr>
        <w:tc>
          <w:tcPr>
            <w:tcW w:w="6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Types of Investments</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Fixed maturities, available-for-sale: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U.S. government and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w:t>
            </w:r>
          </w:p>
        </w:tc>
      </w:tr>
      <w:tr>
        <w:trPr>
          <w:trHeight w:val="216"/>
        </w:trPr>
        <w:tc>
          <w:tcPr>
            <w:tcW w:w="6200" w:type="dxa"/>
            <w:vAlign w:val="bottom"/>
          </w:tcPr>
          <w:p>
            <w:pPr>
              <w:ind w:left="88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776.5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776.5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Corporate securities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17,201.6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17,162.7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6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0.2</w:t>
            </w:r>
          </w:p>
        </w:tc>
      </w:tr>
      <w:tr>
        <w:trPr>
          <w:trHeight w:val="216"/>
        </w:trPr>
        <w:tc>
          <w:tcPr>
            <w:tcW w:w="6200" w:type="dxa"/>
            <w:vAlign w:val="bottom"/>
          </w:tcPr>
          <w:p>
            <w:pPr>
              <w:ind w:left="880"/>
              <w:spacing w:after="0"/>
              <w:rPr>
                <w:sz w:val="20"/>
                <w:szCs w:val="20"/>
                <w:color w:val="auto"/>
              </w:rPr>
            </w:pPr>
            <w:r>
              <w:rPr>
                <w:rFonts w:ascii="Arial" w:cs="Arial" w:eastAsia="Arial" w:hAnsi="Arial"/>
                <w:sz w:val="18"/>
                <w:szCs w:val="18"/>
                <w:color w:val="auto"/>
              </w:rPr>
              <w:t>Residential mortgage-backed securities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3,007.8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3,007.8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Commercial mortgage-backed securities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1,707.7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1,688.9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6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0.1</w:t>
            </w:r>
          </w:p>
        </w:tc>
      </w:tr>
      <w:tr>
        <w:trPr>
          <w:trHeight w:val="223"/>
        </w:trPr>
        <w:tc>
          <w:tcPr>
            <w:tcW w:w="6200" w:type="dxa"/>
            <w:vAlign w:val="bottom"/>
          </w:tcPr>
          <w:p>
            <w:pPr>
              <w:ind w:left="880"/>
              <w:spacing w:after="0"/>
              <w:rPr>
                <w:sz w:val="20"/>
                <w:szCs w:val="20"/>
                <w:color w:val="auto"/>
              </w:rPr>
            </w:pPr>
            <w:r>
              <w:rPr>
                <w:rFonts w:ascii="Arial" w:cs="Arial" w:eastAsia="Arial" w:hAnsi="Arial"/>
                <w:sz w:val="18"/>
                <w:szCs w:val="18"/>
                <w:color w:val="auto"/>
              </w:rPr>
              <w:t>Other debt obligations</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513.9</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440.9</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460" w:type="dxa"/>
            <w:vAlign w:val="bottom"/>
          </w:tcPr>
          <w:p>
            <w:pPr>
              <w:spacing w:after="0"/>
              <w:rPr>
                <w:sz w:val="19"/>
                <w:szCs w:val="19"/>
                <w:color w:val="auto"/>
              </w:rPr>
            </w:pP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79"/>
              </w:rPr>
              <w:t>0.3</w:t>
            </w:r>
          </w:p>
        </w:tc>
        <w:tc>
          <w:tcPr>
            <w:tcW w:w="200" w:type="dxa"/>
            <w:vAlign w:val="bottom"/>
          </w:tcPr>
          <w:p>
            <w:pPr>
              <w:spacing w:after="0"/>
              <w:rPr>
                <w:sz w:val="19"/>
                <w:szCs w:val="19"/>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fixed maturities, available-for-sale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23,519.0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23,388.3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130.7</w:t>
            </w:r>
          </w:p>
        </w:tc>
        <w:tc>
          <w:tcPr>
            <w:tcW w:w="126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0.6</w:t>
            </w: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Marketable equity securities, available-for-sale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Marketable equity securities, trading</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Investments in limited partnerships, private equity funds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28.6</w:t>
            </w:r>
          </w:p>
        </w:tc>
        <w:tc>
          <w:tcPr>
            <w:tcW w:w="1260" w:type="dxa"/>
            <w:vAlign w:val="bottom"/>
            <w:gridSpan w:val="3"/>
          </w:tcPr>
          <w:p>
            <w:pPr>
              <w:ind w:left="840"/>
              <w:spacing w:after="0"/>
              <w:rPr>
                <w:sz w:val="20"/>
                <w:szCs w:val="20"/>
                <w:color w:val="auto"/>
              </w:rPr>
            </w:pPr>
            <w:r>
              <w:rPr>
                <w:rFonts w:ascii="Arial" w:cs="Arial" w:eastAsia="Arial" w:hAnsi="Arial"/>
                <w:sz w:val="18"/>
                <w:szCs w:val="18"/>
                <w:color w:val="auto"/>
              </w:rPr>
              <w:t>0.1</w:t>
            </w: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invested assets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2"/>
        </w:trPr>
        <w:tc>
          <w:tcPr>
            <w:tcW w:w="6200" w:type="dxa"/>
            <w:vAlign w:val="bottom"/>
          </w:tcPr>
          <w:p>
            <w:pPr>
              <w:ind w:left="440"/>
              <w:spacing w:after="0"/>
              <w:rPr>
                <w:sz w:val="20"/>
                <w:szCs w:val="20"/>
                <w:color w:val="auto"/>
              </w:rPr>
            </w:pPr>
            <w:r>
              <w:rPr>
                <w:rFonts w:ascii="Arial" w:cs="Arial" w:eastAsia="Arial" w:hAnsi="Arial"/>
                <w:sz w:val="18"/>
                <w:szCs w:val="18"/>
                <w:color w:val="auto"/>
              </w:rPr>
              <w:t>Total investments carried at fair value</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24,174.5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556.8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23,445.4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172.3</w:t>
            </w:r>
          </w:p>
        </w:tc>
        <w:tc>
          <w:tcPr>
            <w:tcW w:w="1260" w:type="dxa"/>
            <w:vAlign w:val="bottom"/>
            <w:gridSpan w:val="3"/>
          </w:tcPr>
          <w:p>
            <w:pPr>
              <w:ind w:left="840"/>
              <w:spacing w:after="0"/>
              <w:rPr>
                <w:sz w:val="20"/>
                <w:szCs w:val="20"/>
                <w:color w:val="auto"/>
              </w:rPr>
            </w:pPr>
            <w:r>
              <w:rPr>
                <w:rFonts w:ascii="Arial" w:cs="Arial" w:eastAsia="Arial" w:hAnsi="Arial"/>
                <w:sz w:val="18"/>
                <w:szCs w:val="18"/>
                <w:color w:val="auto"/>
              </w:rPr>
              <w:t>0.7</w:t>
            </w:r>
          </w:p>
        </w:tc>
      </w:tr>
      <w:tr>
        <w:trPr>
          <w:trHeight w:val="217"/>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Separate account assets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24,982.2</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1,364.5</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23,445.4</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172.3</w:t>
            </w:r>
          </w:p>
        </w:tc>
        <w:tc>
          <w:tcPr>
            <w:tcW w:w="1260" w:type="dxa"/>
            <w:vAlign w:val="bottom"/>
            <w:gridSpan w:val="3"/>
          </w:tcPr>
          <w:p>
            <w:pPr>
              <w:ind w:left="840"/>
              <w:spacing w:after="0"/>
              <w:rPr>
                <w:sz w:val="20"/>
                <w:szCs w:val="20"/>
                <w:color w:val="auto"/>
              </w:rPr>
            </w:pPr>
            <w:r>
              <w:rPr>
                <w:rFonts w:ascii="Arial" w:cs="Arial" w:eastAsia="Arial" w:hAnsi="Arial"/>
                <w:sz w:val="18"/>
                <w:szCs w:val="18"/>
                <w:color w:val="auto"/>
                <w:w w:val="97"/>
              </w:rPr>
              <w:t>0.7%</w:t>
            </w:r>
          </w:p>
        </w:tc>
      </w:tr>
      <w:tr>
        <w:trPr>
          <w:trHeight w:val="20"/>
        </w:trPr>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Fixed Maturities</w:t>
      </w:r>
    </w:p>
    <w:p>
      <w:pPr>
        <w:spacing w:after="0" w:line="90"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Fixed maturities include bonds, mortgage-backed securities and redeemable preferred stock. We classify all fixed maturities as available-for-sale and carry them at fair value. Net unrealized gains and losses related to these securities are calculated as the difference between the fair value and amortized cost. We report these unrealized gains and losses in AOCI in stockholders’ equity. Realized investment gains and losses are reported in the consolidated statements of income.</w:t>
      </w:r>
    </w:p>
    <w:p>
      <w:pPr>
        <w:spacing w:after="0" w:line="8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determine the fair value of fixed maturities primarily by obtaining prices from third-party independent pricing services, which as of December 31, 2012 and 2011, priced 96.2% and 95.9%, respectively, of our fixed maturities. The pricing services we use have policies and processes to ensure that they are using objectively verifiable, observable market data, including documentation by major security type on the observable market inputs used to determine the prices. Securities are priced using evaluated pricing models that vary by asset class.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standard inputs for security evaluations include benchmark yields, reported trades, broker-dealer quotes, issuer spreads, two-sided markets, benchmark securities, bids, offers and other reference data, including market research publications. Because many fixed income securities do not trade on a daily basis, evaluated pricing models apply available information through processes such as benchmark curves, benchmarking of like securities, sector groupings and matrix pricing. In addition, models are used to develop prepayment and interest rate scenarios, which take into account market convention. Our pricing services routinely review the inputs for the securities they cover; however, they do not provide an independent auditor’s report on controls over valuation.</w:t>
      </w:r>
    </w:p>
    <w:p>
      <w:pPr>
        <w:spacing w:after="0" w:line="1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analyze the prices received from the pricing services to ensure they represent a reasonable estimate of fair value, including analytical reviews of prices between reporting periods. As appropriate, we engage our pricing services in discussion regarding the valuation of a security; however, it has not been our practice to adjust their prices. We also perform procedures to gain assurance on the overall reasonableness and consistent use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inputs, valuation methodologies and compliance with fair value accounting standards. This includes an annual review of pricing methodologies and inputs by asset class and performing periodic due diligence procedures, including quarterly deep-dive analyses, monthly price fluctuation analyses, and corroboration of prices by obtaining secondary pricing quotes for selected securities. Based upon our procedures, we believe that the values provided by our pricing services are appropriate measurements of fair value and determined in accordance with U.S. GAAP.</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use our judgment in assigning our fixed maturities to a level within the fair value hierarchy by determining whether significant pricing inputs are observable and if the market for a given security is active. When we have significant observable market inputs, which is the case when the security is priced by our pricing services, it is classified as a Level 2 measurement. If our pricing services determine that they do not have sufficient objectively verifiable information about a security, they will not provide a valuation for that security, and the security’s fair value is determined internally.</w:t>
      </w:r>
    </w:p>
    <w:p>
      <w:pPr>
        <w:spacing w:after="0" w:line="11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As of December 31, 2012 and 2011, $819.6, or 3.5%, and $936.4, or 4.1%, respectively, of our fixed maturities portfolio was invested in private placement securities. The fair values of these assets are determined internally, typically using a matrix pricing approach. The significant inputs are observable, including the base credit spread, treasury yield and expected future cash flows of the security. The measurement also uses an illiquidity spread, which ranges from 0 to 25 basis points and is based on the credit quality of the security. The illiquidity spread is an unobservable input, but it does not significantly impact the resulting valuation. As a result, we classify these measurements as Level 2. In limited situations, private placement securities are valued through the use of a single broker quote and, in such situations, we consider the fair value a Level 3 measurement.</w:t>
      </w:r>
    </w:p>
    <w:p>
      <w:pPr>
        <w:spacing w:after="0" w:line="12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Fixed maturities categorized as Level 3 investments were $130.7 and $187.2 as of December 31, 2012 and 2011, respectively. As of December 31, 2012 and 2011, we had net unrealized gains of $18.0 and $15.8, respectively, on our Level 3 fixed maturities. For the year ended December 31, 2012 and 2011, we reported net realized losses of $1.6 and $4.5, respectively, on our Level 3 fixed maturities.</w:t>
      </w:r>
    </w:p>
    <w:p>
      <w:pPr>
        <w:spacing w:after="0" w:line="140"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Our investment management objective is to support the expected cash flows of our liabilities and to produce stable returns over the long term. To meet this objective, we typically hold our fixed maturities until maturity or until market conditions are favorable for the sale of such investments. Accordingly, the amount we may realize upon settlement or maturity of our fixed maturities in the future may differ from the estimated fair value of the security at the reporting 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Other-Than-Temporary Impairments (OTTI)</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One of the significant estimates related to available-for-sale securities is the evaluation of investments for OTTI. We record an OTTI on fixed maturity securities in an unrealized loss position when one of the following occurs:</w:t>
      </w:r>
    </w:p>
    <w:p>
      <w:pPr>
        <w:spacing w:after="0" w:line="51"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do not expect to recover the amortized cost basis of the security, based on our estimate of cash flows expected to be collected; or</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intend to sell a security; or it is more likely than not that we will be required to sell a security prior to recovery of its amortized cost basis.</w:t>
      </w:r>
    </w:p>
    <w:p>
      <w:pPr>
        <w:spacing w:after="0" w:line="19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Making the determinations as to whether these conditions exist requires judgment. As part of this process, we analyze investments in an unrealized loss position to determine whether the decline in value is other-than-temporary. The impairment review involves the investment management team, including internal management and our third-party asset portfolio managers. To make this determination, we consider both quantitative and qualitative criteria including:</w:t>
      </w:r>
    </w:p>
    <w:p>
      <w:pPr>
        <w:spacing w:after="0" w:line="26"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extent and duration of the decline in fair value below cost or amortized cost;</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financial condition and near-term prospects of the issuer of the security, including any specific events that may affect its operations, earnings potential or compliance with terms and covenants of the security;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financial condition of the security’s underlying collateral;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downgrades of the security by a rating agency;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reduction or elimination of dividends or non-payment of scheduled interest;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indications that a credit loss has occurred; and</w:t>
      </w:r>
    </w:p>
    <w:p>
      <w:pPr>
        <w:spacing w:after="0" w:line="90" w:lineRule="exact"/>
        <w:rPr>
          <w:rFonts w:ascii="Arial" w:cs="Arial" w:eastAsia="Arial" w:hAnsi="Arial"/>
          <w:sz w:val="18"/>
          <w:szCs w:val="18"/>
          <w:color w:val="auto"/>
        </w:rPr>
      </w:pPr>
    </w:p>
    <w:p>
      <w:pPr>
        <w:ind w:left="900" w:right="560" w:hanging="325"/>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 fixed maturities, our intent to sell or whether it is more likely than not we will be required to sell the fixed maturity prior to recovery of its amortized cost, considering any regulatory developments, prepayment or call notifications and our liquidity needs.</w:t>
      </w:r>
    </w:p>
    <w:p>
      <w:pPr>
        <w:spacing w:after="0" w:line="85"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For securities we intend to sell or for which it is more likely than not that we will be required to sell before recovery, the impairment charge is equal to the difference between the fair value and the amortized cost basis of the security. This amount is recorded as a realized loss in our consolidated statements of income. In determining our intent to sell a security or whether it is more likely than not that we will be required to sell a security, we evaluate facts and circumstances such as decisions to reposition our security portfolio, sales of securities to meet cash flow needs and sales of securities to capitalize on favorable pricing.</w:t>
      </w:r>
    </w:p>
    <w:p>
      <w:pPr>
        <w:spacing w:after="0" w:line="9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do not intend to sell a security, but believe we will not recover all the security’s contractual cash flows, the amortized cost is written down to our estimated recovery value. This amount is determined to be a credit loss and is recorded as a realized loss in our consolidated statements of income. The remainder of the decline in fair value is recorded as OTTI on fixed maturities not related to credit losses in other comprehensive income (OCI), as this is determined to be a noncredit or recoverable loss.</w:t>
      </w:r>
    </w:p>
    <w:p>
      <w:pPr>
        <w:spacing w:after="0" w:line="143"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determine the estimated recovery values by using discounted cash flow models that consider estimated cash flows under current and expected future economic conditions with various assumptions regarding the timing and amount of principal and interest payments. The recovery value is based on our best estimate of expected future cash flows discounted at the security’s effective yield prior to impairment. Our best estimate of future cash flows is based on assumptions, including various performance indicators, such as historical default and recovery rates, credit ratings, current delinquency rates and the structure of the issuer/security. These assumptions require the use of significant judgment and include the probability of issuer default and estimates regarding timing and amount of expected recoveries. In addition, projections of expected future fixed maturity security cash flows may change based upon new information regarding the performance of the issuer and/or underlying collateral. Future impairments may develop if actual results underperform current cash flow modeling assumptions, which may be the result of macroeconomic factors, changes in assumptions used, specific deterioration in certain industry sectors or company failures.</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of December 31, 2012 and 2011, the fair value of our available-for-sale fixed maturity securities that were below cost or amortized cost by 20% or more was $69.6 and $260.0, respectively. Included in the gross unrealized losses are losses attributable to both movements in market interest rates as well as movements in credit spreads. Net income for the year ended December 31, 2012 would be reduced by approximately $27.0 on a pre-tax basis if all the securities in an unrealized loss position of more than 20% were deemed to be other than temporarily impaired, and all of the unrealized loss was credit related.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further discussion of our evaluation of investments for OTTI, see Note 4 to the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Policy Acquisition Costs and Deferred Sales Inducements</w:t>
      </w:r>
    </w:p>
    <w:p>
      <w:pPr>
        <w:spacing w:after="0" w:line="90"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We defer as assets certain policy acquisition costs, including commissions, distribution costs and other underwriting costs related to the production of new and renewal business. When our DAC asset is amortized, it reduces income. We also defer as assets certain sales inducements, including inducement interest, which are included within other assets on our consolidated balance sheets. When our DSI asset is amortized it increases interest credited and reduces income.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January 1, 2012, we retrospectively adopted a new accounting standard related to the deferral of policy acquisition costs. While we have restated DAC amortization to reflect the retrospective reduction in costs deferred, our policies and methodology have not changed. For more information on the impact of adoption, see Note 2 to the consolidated financial statements. This new accounting standard did not impact the accounting for deferred sales inducements.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new standard, we defer only costs that are directly related to the successful acquisition or renewal of insurance contracts, including:</w:t>
      </w:r>
    </w:p>
    <w:p>
      <w:pPr>
        <w:spacing w:after="0" w:line="113"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Commissions for successful contract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Premium-based taxes and assessments;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Distribution costs directly related to successful contract acquisition;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Third-party underwriting costs related to contracts that are successfully acquired;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portion of the salaries and benefits related to employee time spent on the processing of successfully acquired new and renewal contracts.</w:t>
      </w:r>
    </w:p>
    <w:p>
      <w:pPr>
        <w:spacing w:after="0" w:line="19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identification of internal costs directly related to the successful acquisition or renewal of a contract involved significant judgment and estimates. All other acquisition-related costs, including costs incurred for soliciting potential customers, managing distribution and underwriting functions, training, administration, unsuccessful acquisition or renewal efforts, market research and product development are not deferrable and are expensed in the period incurred. Additionally, upon adoption, policy acquisition costs in our Benefits segment are no longer being deferred, as the application of the new standard to the short-duration contracts in this segment resulted in an immaterial net impact of deferral of acquisition costs on the consolidated financial statements.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DAC asset balances by segment: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ind w:right="23"/>
              <w:spacing w:after="0"/>
              <w:rPr>
                <w:sz w:val="20"/>
                <w:szCs w:val="20"/>
                <w:color w:val="auto"/>
              </w:rPr>
            </w:pPr>
            <w:r>
              <w:rPr>
                <w:rFonts w:ascii="Arial" w:cs="Arial" w:eastAsia="Arial" w:hAnsi="Arial"/>
                <w:sz w:val="14"/>
                <w:szCs w:val="14"/>
                <w:b w:val="1"/>
                <w:bCs w:val="1"/>
                <w:color w:val="auto"/>
              </w:rPr>
              <w:t>As of December 31,</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80" w:type="dxa"/>
            <w:vAlign w:val="bottom"/>
            <w:tcBorders>
              <w:bottom w:val="single" w:sz="8" w:color="auto"/>
            </w:tcBorders>
            <w:gridSpan w:val="3"/>
          </w:tcPr>
          <w:p>
            <w:pPr>
              <w:jc w:val="right"/>
              <w:ind w:right="136"/>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3"/>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3"/>
              </w:rPr>
              <w:t>(As adjusted)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Annuities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256.7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8"/>
                <w:szCs w:val="18"/>
                <w:color w:val="auto"/>
              </w:rPr>
              <w:t>Income Annuities</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Individual Life</w:t>
            </w:r>
          </w:p>
        </w:tc>
        <w:tc>
          <w:tcPr>
            <w:tcW w:w="2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2"/>
          </w:tcPr>
          <w:p>
            <w:pPr>
              <w:ind w:left="920"/>
              <w:spacing w:after="0"/>
              <w:rPr>
                <w:sz w:val="20"/>
                <w:szCs w:val="20"/>
                <w:color w:val="auto"/>
              </w:rPr>
            </w:pPr>
            <w:r>
              <w:rPr>
                <w:rFonts w:ascii="Arial" w:cs="Arial" w:eastAsia="Arial" w:hAnsi="Arial"/>
                <w:sz w:val="18"/>
                <w:szCs w:val="18"/>
                <w:color w:val="auto"/>
              </w:rPr>
              <w:t>Total unamortized balance at end of period</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367.9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effect of net unrealized gains</w:t>
            </w:r>
          </w:p>
        </w:tc>
        <w:tc>
          <w:tcPr>
            <w:tcW w:w="2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(212.1)</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ind w:left="920"/>
              <w:spacing w:after="0"/>
              <w:rPr>
                <w:sz w:val="20"/>
                <w:szCs w:val="20"/>
                <w:color w:val="auto"/>
              </w:rPr>
            </w:pPr>
            <w:r>
              <w:rPr>
                <w:rFonts w:ascii="Arial" w:cs="Arial" w:eastAsia="Arial" w:hAnsi="Arial"/>
                <w:sz w:val="18"/>
                <w:szCs w:val="18"/>
                <w:color w:val="auto"/>
              </w:rPr>
              <w:t>Balance at end of period</w:t>
            </w:r>
          </w:p>
        </w:tc>
        <w:tc>
          <w:tcPr>
            <w:tcW w:w="2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80" w:type="dxa"/>
            <w:vAlign w:val="bottom"/>
            <w:gridSpan w:val="2"/>
            <w:vMerge w:val="continue"/>
          </w:tcPr>
          <w:p>
            <w:pPr>
              <w:spacing w:after="0"/>
              <w:rPr>
                <w:sz w:val="19"/>
                <w:szCs w:val="19"/>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155.8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w w:val="90"/>
              </w:rPr>
              <w:t>The following table summarizes our DSI asset balances by segment:</w:t>
            </w:r>
          </w:p>
        </w:tc>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980" w:type="dxa"/>
            <w:vAlign w:val="bottom"/>
            <w:gridSpan w:val="2"/>
            <w:vMerge w:val="continue"/>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6"/>
              </w:rPr>
              <w:t>As of December 31,</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Deferred Annuities</w:t>
            </w:r>
          </w:p>
        </w:tc>
        <w:tc>
          <w:tcPr>
            <w:tcW w:w="22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060" w:type="dxa"/>
            <w:vAlign w:val="bottom"/>
          </w:tcPr>
          <w:p>
            <w:pPr>
              <w:ind w:left="440"/>
              <w:spacing w:after="0"/>
              <w:rPr>
                <w:sz w:val="20"/>
                <w:szCs w:val="20"/>
                <w:color w:val="auto"/>
              </w:rPr>
            </w:pPr>
            <w:r>
              <w:rPr>
                <w:rFonts w:ascii="Arial" w:cs="Arial" w:eastAsia="Arial" w:hAnsi="Arial"/>
                <w:sz w:val="18"/>
                <w:szCs w:val="18"/>
                <w:color w:val="auto"/>
              </w:rPr>
              <w:t>Individual Life</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0.9</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unamortized balance at end of period</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8"/>
                <w:szCs w:val="18"/>
                <w:color w:val="auto"/>
              </w:rPr>
              <w:t>Accumulated effect of net unrealized gains</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(128.6)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
        </w:trPr>
        <w:tc>
          <w:tcPr>
            <w:tcW w:w="9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120" w:type="dxa"/>
            <w:vAlign w:val="bottom"/>
            <w:vMerge w:val="restart"/>
          </w:tcPr>
          <w:p>
            <w:pPr>
              <w:jc w:val="right"/>
              <w:ind w:right="1672"/>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DAC and DSI</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amortize DAC and DSI over the premium paying period or over the lives of the policies in proportion to the future estimated gross profits (EGPs) of each of these product lines, as follows:</w:t>
      </w:r>
    </w:p>
    <w:p>
      <w:pPr>
        <w:spacing w:after="0" w:line="51" w:lineRule="exact"/>
        <w:rPr>
          <w:sz w:val="20"/>
          <w:szCs w:val="20"/>
          <w:color w:val="auto"/>
        </w:rPr>
      </w:pPr>
    </w:p>
    <w:p>
      <w:pPr>
        <w:ind w:left="900" w:right="6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Deferred Annuities. </w:t>
      </w:r>
      <w:r>
        <w:rPr>
          <w:rFonts w:ascii="Arial" w:cs="Arial" w:eastAsia="Arial" w:hAnsi="Arial"/>
          <w:sz w:val="18"/>
          <w:szCs w:val="18"/>
          <w:color w:val="auto"/>
        </w:rPr>
        <w:t>The DAC amortization period is typically 20 years for deferred annuities, although most of the DAC amortization occurs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10 years because the EGPs are highest during such period. To amortize DSI, we use the same methodology, assumptions and amortization period as used in amortizing DAC.</w:t>
      </w:r>
    </w:p>
    <w:p>
      <w:pPr>
        <w:spacing w:after="0" w:line="59" w:lineRule="exact"/>
        <w:rPr>
          <w:rFonts w:ascii="Arial" w:cs="Arial" w:eastAsia="Arial" w:hAnsi="Arial"/>
          <w:sz w:val="18"/>
          <w:szCs w:val="18"/>
          <w:color w:val="auto"/>
        </w:rPr>
      </w:pPr>
    </w:p>
    <w:p>
      <w:pPr>
        <w:jc w:val="both"/>
        <w:ind w:left="900" w:right="36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Income Annuities. </w:t>
      </w:r>
      <w:r>
        <w:rPr>
          <w:rFonts w:ascii="Arial" w:cs="Arial" w:eastAsia="Arial" w:hAnsi="Arial"/>
          <w:sz w:val="18"/>
          <w:szCs w:val="18"/>
          <w:color w:val="auto"/>
        </w:rPr>
        <w:t>The DAC amortization period for SPIAs, including structured settlement annuities, is the benefit payment period. The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periods vary by policy; however, approximately 80% of the benefits will be paid over the next 45 years and nearly all benefits are paid within 80 years of contract issue.</w:t>
      </w:r>
    </w:p>
    <w:p>
      <w:pPr>
        <w:spacing w:after="0" w:line="59"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Individual Life. </w:t>
      </w:r>
      <w:r>
        <w:rPr>
          <w:rFonts w:ascii="Arial" w:cs="Arial" w:eastAsia="Arial" w:hAnsi="Arial"/>
          <w:sz w:val="18"/>
          <w:szCs w:val="18"/>
          <w:color w:val="auto"/>
        </w:rPr>
        <w:t>The DAC amortization period related to universal life policies is typically 25 years. DAC amortization related to our term life</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policies is the premium paying period, which ranges from 10 to 30 years.</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To determine the EGPs, we make assumptions as to lapse and withdrawal rates, expenses, interest margins, mortality experience, long-term equity market returns and investment performance. Estimating future gross profits is a complex process requiring considerable judgment and forecasting of events well into the future.</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Changes to assumptions can have a significant impact on DAC and DSI amortization. In the event actual experience differs from our assumptions or our future assumptions are revised, we adjust our EGPs, which could result in a significant increase in amortization expense. EGPs are adjusted quarterly to reflect actual experience to date. For example, for our deferred annuity products, if renewal crediting rates are greater or lower than the renewal crediting rates we assumed in our DAC and DSI asset amortization models, we would record a change in amortization expense to reflect the change in our EGPs.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future assumptions, we complete a study and refine our estimates of future gross profits annually during the third quarter. Upon completion of an assumption study, we revise our assumptions to reflect our current best estimate, thereby changing our estimate of projected EGPs used in the DAC and DSI asset amortization models. This is often referred to as “unlocking” the amortization models. For the year ended December 31, 2012, we recorded net pre-tax adjustments totaling $(2.6) and $(1.0) related to DAC and DSI unlocking, respectively. We also revise future assumptions as needed throughout the year if a significant transaction or trend is identified that would warrant a change in those assumptions.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would generally cause an increase in DAC and DSI amortization expense: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Actual experience differs from our assumptions:</w:t>
      </w:r>
    </w:p>
    <w:p>
      <w:pPr>
        <w:spacing w:after="0" w:line="90"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to interest margins in the current period from increased yields or decreased crediting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to lapse and withdrawal rates in the current period;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decreases to current period expense levels;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significant investment prepayment related income;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to equity market returns;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lower death claims.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Future assumption changes (unlocking):</w:t>
      </w:r>
    </w:p>
    <w:p>
      <w:pPr>
        <w:spacing w:after="0" w:line="90"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decreases in expected future interest margins due to increases in expected renewal crediting rates and/or decreases to expected investment yields;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increases to expected future lapse and withdrawal rates;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increases to future expected expense levels;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investment prepayment activity, which results in decreased future interest margins;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decreases to expected equity market returns;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expected future death claims.</w:t>
      </w:r>
    </w:p>
    <w:p>
      <w:pPr>
        <w:spacing w:after="0" w:line="171"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We regularly conduct DAC and DSI recoverability analyses, where we compare the current asset balances with the estimated present value of future profitability of the underlying business. The DAC and DSI asset balances are considered recoverable if the present value of future profits is greater than the current asset balances.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our recoverability analyses, we perform sensitivity analyses on our most significant DAC and DSI asset balances, which currently relate to our deferred annuity, universal life, and BOLI products, to capture the effect that certain key assumptions have on DAC asset balances. The sensitivity tests are performed independently, without consideration for any correlation among the key assumptions. The following depicts the sensitivities for our deferred annuity, universal life and BOLI DAC asset balances as of December 31, 2012:</w:t>
      </w:r>
    </w:p>
    <w:p>
      <w:pPr>
        <w:spacing w:after="0" w:line="62"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we increased our future lapse and withdrawal rate assumptions by a factor of 10%, the DAC asset balance would decrease approximately $6.0;</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we increased our future expense assumptions by a factor of 10%, the DAC asset balance would decrease approximately $0.5.</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we decreased our future investment yield assumptions by a factor of 100bps, the DAC asset balance would decrease approximately $2.1.</w:t>
      </w:r>
    </w:p>
    <w:p>
      <w:pPr>
        <w:spacing w:after="0" w:line="19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depending on the amount and the type of new business written in the future, we may determine that other assumptions may produce significant variations in our financial results.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 for Unrealized Gains or Losses on Investments</w:t>
      </w:r>
    </w:p>
    <w:p>
      <w:pPr>
        <w:spacing w:after="0" w:line="90"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color w:val="auto"/>
        </w:rPr>
        <w:t>We adjust the unamortized DAC and DSI balances for the accumulated effect of net unrealized gains or losses on investments, which is recorded net of taxes in AOCI. This adjustment reflects the impact on estimated future gross profits as if the unrealized investment gains and losses had been realized as of the balance sheet date. Currently, our available-for-sale portfolio is in a net unrealized gain position, primarily due to the low interest rate environment, and the corresponding adjustment decreases our DAC and DSI balances and AOCI. In periods of rising interest rates, the fair value of our fixed maturities would generally decrease, and this may result in net unrealized investment losses. In such circumstances, the DAC and DSI adjustments would increase our DAC and DSI balances and increase AOCI. However, this adjustment is limited to cumulative capitalized acquisition costs plus interest, which would be $175.0, net of taxes of $94.2, in our Deferred Annuities segment and $13.2, net of taxes of $7.1, in our Individual Life segment as of December 31, 2012. For DSI, this adjustment is limited to cumulative capitalized interest costs plus interest, which would be $83.3, net of taxes of $44.8.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Policy Benefits</w:t>
      </w:r>
    </w:p>
    <w:p>
      <w:pPr>
        <w:spacing w:after="0" w:line="90"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We compute liabilities for future policy benefits under traditional individual life and group life insurance policies on the level premium method, which uses a level premium assumption to fund reserves. We select the level of premiums at issuance so that the actuarial present value of future benefits equals the actuarial present value of future premiums. We set the interest, mortality and persistency assumptions in the year of issue and include provisions for adverse deviations.</w:t>
      </w:r>
    </w:p>
    <w:p>
      <w:pPr>
        <w:spacing w:after="0" w:line="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These liabilities are contingent upon the death of the insured while the policy is in force. We derive mortality assumptions from both company-specific and industry statistics. We discount future benefits at interest rates that vary by year of policy issue. These interest rates are set initially at a rate consistent with portfolio rates at the time of issue, and grade to a lower rate, such as the statutory valuation interest rate, over time. Assumptions are made at the time each policy is issued, and do not change over time unless the liability amount is determined to be inadequate to cover future policy benefits. The provisions for adverse deviations are intended to provide coverage for the risk that actual experience may be worse than locked-in best-estimate assumptions.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periodically compare our actual experience with our estimates of actuarial liabilities for future policy benefits. To the extent that actual policy benefits differ from the reserves established for future policy benefits, such differences are recorded in the consolidated statements of income in the period in which the variances occur, which could result in a decrease in profits, or possibly losses. No revisions to assumptions within the future policy benefits liabilities have been necessary and therefore we have not experienced any significant impact in our financial results due to changes in assumptions.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and Contract Claims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Liabilities for policy and contract claims primarily represent liabilities for claims under group medical stop-loss coverages and are established on the basis of reported losses. We also provide for claims incurred but not reported (IBNR) based on expected loss ratios, claims paying completion patterns and historical experience. We continually review estimates for reported but unpaid claims and IBNR. Any necessary adjustments are recorded in the consolidated statements of income in the period in which the variance occurs. If expected loss ratios increase or expected claims paying completion patterns extend, the IBNR amount increases. While we make a best estimate at each reporting period, we may still experience volatility due to uncertainty inherent in the underlying estimates. For example, in 2012, our incurred claims related to previous years developed favorably by $9.5, or 5.9% of net reserves at December 31, 2011.</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New Accounting Standards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discussion of recently adopted and not yet adopted accounting pronouncements, see Note 2 to the accompanying consolidated financial statements.</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Sources of Revenues and Expenses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primary sources of revenues from our insurance operations are premiums, net investment income and policy fees and contract charges. Our primary sources of expenses from our insurance operations are policyholder benefits and claims, interest credited to policyholder reserves and account balances, and general business and operating expenses, net of DAC. We allocate shared service operating expenses to each segment using multiple factors, including employee headcount, allocated investments, account values and time study results. We also generate net realized investment gains (losses) on sales or impairment of our investments and changes in fair value on our equity trading portfolio.</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Each of our four operating segments maintains its own portfolio of invested assets, which are managed in accordance with specific guidelines. The net investment income and realized investment gains (losses) are reported in the segment in which they occur. We also allocate surplus net investment income to each segment using a risk-based capital formula. The unallocated portion of net investment income is reported in the Other segment.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Premiums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Premiums consist primarily of premiums from our group insurance products, primarily medical stop-loss and limited benefit medical, individual term and whole life insurance products.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investment income</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Net investment income represents the income earned on our investments, net of investment expenses, including prepayment related income such as bond make-whole payments. Net investment income also includes gains or losses from changes in the fair value of our investments in private equity fund limited partnerships and interest expense from amortization of tax credit investments.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Policy fees, contract charges and other</w:t>
      </w:r>
    </w:p>
    <w:p>
      <w:pPr>
        <w:spacing w:after="0" w:line="9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Policy fees, contract charges and other includes cost of insurance (COI) charges on our UL and BOLI policies, mortality expense, surrender and other administrative charges to policyholders, revenues from our non-insurance businesses, and reinsurance allowance fees.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realized investment gains (losses)</w:t>
      </w:r>
    </w:p>
    <w:p>
      <w:pPr>
        <w:spacing w:after="0" w:line="90" w:lineRule="exact"/>
        <w:rPr>
          <w:sz w:val="20"/>
          <w:szCs w:val="20"/>
          <w:color w:val="auto"/>
        </w:rPr>
      </w:pPr>
    </w:p>
    <w:p>
      <w:pPr>
        <w:ind w:right="940" w:firstLine="456"/>
        <w:spacing w:after="0" w:line="370" w:lineRule="auto"/>
        <w:rPr>
          <w:sz w:val="20"/>
          <w:szCs w:val="20"/>
          <w:color w:val="auto"/>
        </w:rPr>
      </w:pPr>
      <w:r>
        <w:rPr>
          <w:rFonts w:ascii="Arial" w:cs="Arial" w:eastAsia="Arial" w:hAnsi="Arial"/>
          <w:sz w:val="15"/>
          <w:szCs w:val="15"/>
          <w:color w:val="auto"/>
        </w:rPr>
        <w:t>Net realized investment gains (losses) mainly consists of realized gains (losses) from sales of our investments, realized losses from investment impairments, changes in fair value on our trading portfolio and changes in fair value of our FIA options and related FIA embedded derivative.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Benefits and Expenses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Policyholder benefits and claims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Policyholder benefits and claims consist of benefits paid and reserve activity on group insurance, individual life and BOLI products.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credited</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Interest credited represents interest credited to policyholder reserves and contract holder general account balances, the impact of mortality and funding services activity within our Income Annuities segment, and the impact of deferred sales inducements.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underwriting and operating expenses</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Other underwriting and operating expenses represent non-deferrable costs related to the acquisition and ongoing maintenance of insurance and investment contracts, including certain non-deferrable commissions, policy issuance expenses and other business and administrative operating costs.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expense primarily includes interest on corporate debt, the impact of interest rate hedging activities on the debt and amortization of debt issuance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Amortization of deferred policy acquisition costs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defer as assets certain commissions, distribution costs and other underwriting costs that are directly related to the successful acquisition of new and renewal business. Amortization of previously capitalized DAC is recorded as an 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Certain tables and related disclosures in this report include non-GAAP financial measures. We believe these measures provide useful information to investors in evaluating our financial performance or condition. The non-GAAP financial measures discussed below are not substitutes for their most directly comparable GAAP measures. The adjustments made to derive these non-GAAP measures are important to understanding our overall results of operations and financial position and, if evaluated without proper context, these non-GAAP measures possess material limitations. Therefore, our management and board of directors also separately review the items excluded from or added to the most directly comparable GAAP measures to arrive at these non-GAAP measures. In addition, management and our board of directors also analyze each of the comparable GAAP measures in connection with their review of our results of operations and financial position.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Many of the non-GAAP measures, including adjusted book value, adjusted book value per common share, adjusted book value per common share, as converted, and operating ROAE are included specifically for the purpose of excluding AOCI from the GAAP measure stockholders’ equity. We present each of these non-GAAP measures because we believe investors find useful financial measures that remove the temporary and unrealized changes in the fair values of our investments, and the related effects on AOCI. This allows investors to assess our financial condition based on our general practice of holding our fixed investments to maturity. For example, we believe it is important that an investor not assume that an increase in stockholders’ equity driven by unrealized gains means our company has grown in value and alternatively, it is important that an investor not assume that a decrease in stockholders’ equity driven by unrealized losses means our company’s value has decreased.</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the following paragraphs, we provide definitions of our non-GAAP measures. For a reconciliation of these non-GAAP measures to their most directly comparable GAAP measures, see Item 6 — “Selected Financial Data”.</w:t>
      </w:r>
    </w:p>
    <w:p>
      <w:pPr>
        <w:spacing w:after="0" w:line="132" w:lineRule="exact"/>
        <w:rPr>
          <w:sz w:val="20"/>
          <w:szCs w:val="20"/>
          <w:color w:val="auto"/>
        </w:rPr>
      </w:pPr>
    </w:p>
    <w:p>
      <w:pPr>
        <w:ind w:left="240" w:right="500"/>
        <w:spacing w:after="0" w:line="268" w:lineRule="auto"/>
        <w:rPr>
          <w:sz w:val="20"/>
          <w:szCs w:val="20"/>
          <w:color w:val="auto"/>
        </w:rPr>
      </w:pPr>
      <w:r>
        <w:rPr>
          <w:rFonts w:ascii="Arial" w:cs="Arial" w:eastAsia="Arial" w:hAnsi="Arial"/>
          <w:sz w:val="18"/>
          <w:szCs w:val="18"/>
          <w:b w:val="1"/>
          <w:bCs w:val="1"/>
          <w:i w:val="1"/>
          <w:iCs w:val="1"/>
          <w:color w:val="auto"/>
        </w:rPr>
        <w:t>Adjusted Operating Income, Pre-tax Adjusted Operating Income, Adjusted Operating Income per Common Share — Basic, and Adjusted Operating Income per Common Share — Diluted</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Adjusted Operating Income and Pre-tax Adjusted Operating Income</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Adjusted operating income consists of net income, less after-tax net realized investment gains (losses), plus after-tax net investment gains (losses) on FIA. Net income is the most directly comparable GAAP measure to adjusted operating income. Net income for any period presents the results of our insurance operations, as well as our net realized investment gains (losses). We consider investment income generated by our invested assets to be part of the results of our insurance operations because they are acquired and generally held to maturity to generate income that we use to meet our obligations. Conversely, we do not consider the activities reported through net realized investment gains (losses), with the exception of our FIA gains (losses), to be reflective of the performance of our insurance operations, as discussed below.</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believe investors find it useful to review a measure of the results of our insurance operations separate from the gain and loss activity attributable to most of our investment portfolio because it assists an investor in determining whether our insurance-related revenues, composed primarily of premiums, net investment income and policy fees, contract charges and other, have been sufficient to generate operating earnings after meeting our insurance-related obligations, composed primarily of claims paid to policyholders, investment returns credited to policyholder accounts, and other operating costs.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presenting adjusted operating income, we are excluding after-tax net realized investment gains (losses). The timing and amount of these gains and losses are driven by investment decisions and external economic developments unrelated to our management of the insurance and underwriting aspects of our business. However, we do consider realized investment gains (losses) on FIA as part of adjusted operating income. Our FIA products credit interest to policyholder accounts based on equity market performance. Net realized gains (losses) on FIA includes changes in fair value of our FIA options and the related FIA embedded derivative, which represents our current period obligation to policyholders related to equity market performance. Each year, we use the realized gains from our FIA options similar to the way we use investment income to meet our obligations associated with our FIA product.</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Pre-tax adjusted operating income is adjusted operating income on a pre-tax basis. It also represents the cumulative total of segment pre-tax adjusted operating income, which at the segment level is a GAAP measure. Income from operations before income taxes is the most directly comparable GAAP measure to pre-tax adjusted operating income. In presenting pre-tax adjusted operating income, we are excluding pre-tax net realized investment gains (losses), except pre-tax net realized investment gains (losses) on FIA.</w:t>
      </w:r>
    </w:p>
    <w:p>
      <w:pPr>
        <w:spacing w:after="0" w:line="143"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In addition to using adjusted operating income to evaluate our insurance operations, our management and board of directors have other uses for this measure, including assessing achievement of our financial plan and managing the crediting rates on our insurance liabilities.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Adjusted Operating Income per Common Share — Basic and Adjusted Operating Income per Common Share — Diluted</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Adjusted operating income per common share — basic, and adjusted operating income per common share — diluted, consist of adjusted operating income, divided by the GAAP-basis weighted average basic and diluted shares outstanding, respectively. Net income per common share — basic, and net income per common share — diluted, are the most directly comparable GAAP measures. See “</w:t>
      </w:r>
      <w:r>
        <w:rPr>
          <w:rFonts w:ascii="Arial" w:cs="Arial" w:eastAsia="Arial" w:hAnsi="Arial"/>
          <w:sz w:val="16"/>
          <w:szCs w:val="16"/>
          <w:i w:val="1"/>
          <w:iCs w:val="1"/>
          <w:color w:val="auto"/>
        </w:rPr>
        <w:t>Adjusted operating income</w:t>
      </w:r>
      <w:r>
        <w:rPr>
          <w:rFonts w:ascii="Arial" w:cs="Arial" w:eastAsia="Arial" w:hAnsi="Arial"/>
          <w:sz w:val="16"/>
          <w:szCs w:val="16"/>
          <w:color w:val="auto"/>
        </w:rPr>
        <w:t>” above, for an explanation of the differences between net income, which is the numerator for the GAAP measures, and adjusted operating income, the numerator for these non-GAAP measures.</w:t>
      </w:r>
    </w:p>
    <w:p>
      <w:pPr>
        <w:spacing w:after="0" w:line="113"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We believe investors find it useful to review a per share measure of the results of our insurance operations separate from the gain and loss activity attributable to most of our investment portfolio, in order to evaluate their proportionate stake in the earnings of the insurance operations.</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addition to using adjusted operating income per common share — basic, and adjusted operating income per common share — diluted, to evaluate our insurance operations, our management and board of directors have other uses for this measure, including assessing achievement of our financial plan.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Adjusted Book Value and Adjusted Book Value per Common Share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Adjusted book value consists of stockholders’ equity, less AOCI. Adjusted book value per common share is calculated as adjusted book value, divided by outstanding common shares. This measure does not include shares subject to outstanding warrants because the warrant holders only participate in dividends and would not be entitled to proceeds in the event of a liquidation or winding down of our company should such event precede the exercise of the outstanding warrants.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Stockholders’ equity is the most directly comparable GAAP measure to adjusted book value. AOCI, which is primarily composed of the net unrealized gains (losses) on our fixed maturities, net of taxes, is a component of stockholders’ equity. Book value per common share is the most directly comparable GAAP measure to adjusted book value per common share. Book value per common share is calculated as stockholders’ equity divided by the sum of our common shares outstanding and shares issuable pursuant to outstanding warrants.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purchase fixed maturities with durations and cash flows that match our estimate of when our insurance liabilities and other obligations will come due. We typically expect to hold our fixed maturities to maturity, using the principal and interest cash flows to pay our obligations over time. Since we expect to collect the contractual cash flows on these fixed maturities, we do not expect to realize the unrealized gains (losses) that are included in our AOCI balance as of any particular date. AOCI primarily fluctuates based on changes in the fair value of our fixed maturities, which is driven by factors outside of our control, including the movement of interest rates, credit spreads and the impact of credit market conditions.</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believe investors find it useful if we present them with a financial measure that removes from stockholders’ equity these temporary and unrealized changes in the fair values of our investments, and the related effects on AOCI. By evaluating our adjusted book value, an investor can assess our financial condition based on our general practice of holding our fixed investments to maturity. Additionally, by translating this measure into adjusted book value per common share, we allow the investor to assess its proportionate stake in our adjusted book value as of the dates presented, and the change in such measures over time.</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to using adjusted book value and adjusted book value per common share to evaluate our financial condition, our management and board of directors have other uses for these measures, including reviewing debt levels as a percentage of adjusted book value to monitor compliance with revolving credit facility covenants and to evaluate and review our ratings from rating agencies. Finally, our board of directors uses adjusted book value as a basis to measure the success of our Company over historical periods and reviews management’s financial plans based on the projected growth in adjusted book value.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Adjusted Book Value per Common Share, as converted</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Adjusted book value, as converted consists of adjusted book value, plus the assumed proceeds from the exercise of outstanding warrants. This measure is used to calculate adjusted book value per common share, as converted which gives effect to the exercise of our outstanding warrants. Adjusted book value per common share, as converted, is calculated as adjusted book value plus the assumed proceeds from the warrants, divided by the sum of outstanding common shares and shares subject to outstanding warrants. It assumes a full cash exercise of the warrants, regardless of the stock price. Book value per common share is the most directly comparable GAAP measure and is calculated as stockholders’ equity divided by the sum of our common shares outstanding and shares issuable pursuant to outstanding warrants.</w:t>
      </w:r>
    </w:p>
    <w:p>
      <w:pPr>
        <w:spacing w:after="0" w:line="12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believe investors find it useful if we present them with adjusted book value per common share, as converted, to remove AOCI from stockholders’ equity and give effect to the exercise of our outstanding warrants. This allows the investor to assess its proportionate stake in our adjusted book value, while understanding the effect of the exercise of outstanding warrants, as of the dates presented, and the change in such measures over time, based on our practice of holding our fixed maturities to maturity.</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to using adjusted book value per common share, as converted to evaluate our financial condition on a per common share basis, our management and board of directors use this as one of the key measures to assess our financial performance and to compare the value and the change in value over time of our common shares to that of our peer companies.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ROAE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Operating return on average equity, or operating ROAE, consists of adjusted operating income for the most recent four quarters, divided by average adjusted book value, both of which are non-GAAP measures as described above. We measure average adjusted book value by averaging adjusted book value for the most recent five quarters.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Return on stockholders’ equity, or ROE, is the most directly comparable GAAP measure. Return on stockholders’ equity for the most recent four quarters is calculated as net income for such period divided by the average stockholders’ equity for the most recent five quarters.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investors find it useful to review the results of our insurance operations separate from the gain and loss activity attributable to most of our investment portfolio because it highlights trends in the performance of our insurance operations. In addition, we believe investors find it useful if we present them with a financial measure that removes from stockholders’ equity the temporary and unrealized changes in the fair values of our investments, and the related effects on AOCI, because we do not expect to realize the unrealized gains (losses) that are included in our AOCI balance as of any particular date. By referring to operating ROAE, an investor can form a judgment as to how effectively our management uses funds invested by our stockholders to generate adjusted operating income growth. Thus, we present operating ROAE for a period to measure the rate of return produced by our adjusted operating income in such period based on our average adjusted book value for such period.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discussion should be read in conjunction with our consolidated financial statements and related notes.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Total Company</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Set forth below is a summary of our consolidated financial results. The variances noted in the total company and segment tables should be interpreted as increases and (decreases), respectively.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ind w:left="560"/>
              <w:spacing w:after="0"/>
              <w:rPr>
                <w:sz w:val="20"/>
                <w:szCs w:val="20"/>
                <w:color w:val="auto"/>
              </w:rPr>
            </w:pPr>
            <w:r>
              <w:rPr>
                <w:rFonts w:ascii="Arial" w:cs="Arial" w:eastAsia="Arial" w:hAnsi="Arial"/>
                <w:sz w:val="14"/>
                <w:szCs w:val="14"/>
                <w:b w:val="1"/>
                <w:bCs w:val="1"/>
                <w:color w:val="auto"/>
                <w:w w:val="87"/>
              </w:rPr>
              <w:t>For the Years Ended December 31,</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6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Variance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2"/>
                <w:szCs w:val="12"/>
                <w:color w:val="auto"/>
              </w:rPr>
            </w:pPr>
          </w:p>
        </w:tc>
        <w:tc>
          <w:tcPr>
            <w:tcW w:w="1440" w:type="dxa"/>
            <w:vAlign w:val="bottom"/>
            <w:tcBorders>
              <w:top w:val="single" w:sz="8" w:color="auto"/>
            </w:tcBorders>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(As adjusted)</w:t>
            </w:r>
          </w:p>
        </w:tc>
        <w:tc>
          <w:tcPr>
            <w:tcW w:w="540" w:type="dxa"/>
            <w:vAlign w:val="bottom"/>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(As adjusted)</w:t>
            </w:r>
          </w:p>
        </w:tc>
        <w:tc>
          <w:tcPr>
            <w:tcW w:w="5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Premiums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605.0</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540.5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473.0</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11.9%</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1,275.2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1,270.9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6"/>
              </w:rPr>
              <w:t>1,199.4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Policy fees, contract charges,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180.7</w:t>
            </w:r>
          </w:p>
        </w:tc>
        <w:tc>
          <w:tcPr>
            <w:tcW w:w="16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166.3</w:t>
            </w: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c>
          <w:tcPr>
            <w:tcW w:w="6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realized investment gains (losses):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280"/>
              <w:spacing w:after="0"/>
              <w:rPr>
                <w:sz w:val="20"/>
                <w:szCs w:val="20"/>
                <w:color w:val="auto"/>
              </w:rPr>
            </w:pPr>
            <w:r>
              <w:rPr>
                <w:rFonts w:ascii="Arial" w:cs="Arial" w:eastAsia="Arial" w:hAnsi="Arial"/>
                <w:sz w:val="18"/>
                <w:szCs w:val="18"/>
                <w:color w:val="auto"/>
              </w:rPr>
              <w:t>Net impairment losses recognized in earnings</w:t>
            </w: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(20.9)</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net realized investment gains (losses)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ind w:left="860"/>
              <w:spacing w:after="0"/>
              <w:rPr>
                <w:sz w:val="20"/>
                <w:szCs w:val="20"/>
                <w:color w:val="auto"/>
              </w:rPr>
            </w:pPr>
            <w:r>
              <w:rPr>
                <w:rFonts w:ascii="Arial" w:cs="Arial" w:eastAsia="Arial" w:hAnsi="Arial"/>
                <w:sz w:val="18"/>
                <w:szCs w:val="18"/>
                <w:color w:val="auto"/>
              </w:rPr>
              <w:t>Net realized investment gains (losses)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line="20" w:lineRule="exact"/>
              <w:rPr>
                <w:sz w:val="1"/>
                <w:szCs w:val="1"/>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40.1</w:t>
            </w:r>
          </w:p>
        </w:tc>
        <w:tc>
          <w:tcPr>
            <w:tcW w:w="76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2,101.2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6"/>
              </w:rPr>
              <w:t>1,878.8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Benefits and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Policyholder benefits and claims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381.4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335.1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Interest credited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932.8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925.9</w:t>
            </w:r>
          </w:p>
        </w:tc>
        <w:tc>
          <w:tcPr>
            <w:tcW w:w="16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899.5</w:t>
            </w:r>
          </w:p>
        </w:tc>
        <w:tc>
          <w:tcPr>
            <w:tcW w:w="760" w:type="dxa"/>
            <w:vAlign w:val="bottom"/>
          </w:tcPr>
          <w:p>
            <w:pPr>
              <w:jc w:val="right"/>
              <w:spacing w:after="0"/>
              <w:rPr>
                <w:sz w:val="20"/>
                <w:szCs w:val="20"/>
                <w:color w:val="auto"/>
              </w:rPr>
            </w:pPr>
            <w:r>
              <w:rPr>
                <w:rFonts w:ascii="Arial" w:cs="Arial" w:eastAsia="Arial" w:hAnsi="Arial"/>
                <w:sz w:val="18"/>
                <w:szCs w:val="18"/>
                <w:color w:val="auto"/>
              </w:rPr>
              <w:t>0.7</w:t>
            </w:r>
          </w:p>
        </w:tc>
        <w:tc>
          <w:tcPr>
            <w:tcW w:w="6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underwriting and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317.9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279.9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31.9</w:t>
            </w: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deferred policy acquisition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54.1</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ind w:left="420"/>
              <w:spacing w:after="0"/>
              <w:rPr>
                <w:sz w:val="20"/>
                <w:szCs w:val="20"/>
                <w:color w:val="auto"/>
              </w:rPr>
            </w:pPr>
            <w:r>
              <w:rPr>
                <w:rFonts w:ascii="Arial" w:cs="Arial" w:eastAsia="Arial" w:hAnsi="Arial"/>
                <w:sz w:val="18"/>
                <w:szCs w:val="18"/>
                <w:color w:val="auto"/>
              </w:rPr>
              <w:t>Total benefits and expenses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680" w:type="dxa"/>
            <w:vAlign w:val="bottom"/>
          </w:tcPr>
          <w:p>
            <w:pPr>
              <w:spacing w:after="0" w:line="20" w:lineRule="exact"/>
              <w:rPr>
                <w:sz w:val="1"/>
                <w:szCs w:val="1"/>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1,831.1</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1,726.1</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96"/>
              </w:rPr>
              <w:t>1,600.5</w:t>
            </w:r>
          </w:p>
        </w:tc>
        <w:tc>
          <w:tcPr>
            <w:tcW w:w="76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278.3</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84.5</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(16.4)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193.8</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 (1):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1.43</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1.49</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1.43</w:t>
            </w: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6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138.018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137.491</w:t>
            </w:r>
          </w:p>
        </w:tc>
        <w:tc>
          <w:tcPr>
            <w:tcW w:w="16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135.609</w:t>
            </w: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c>
          <w:tcPr>
            <w:tcW w:w="6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138.024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137.503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135.618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2"/>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Non-GAAP Financial Measures: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167.9</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Adjusted operating income per common share (1):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1.24</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1.34</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1.24</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(2.9)</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to 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205.4</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195.8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193.8</w:t>
            </w: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6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Less: Net realized investment gains (losses) (net of taxes of</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$2.5 and $14.0)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26.1</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Add: Net realized gains (losses) – FIA (net of taxes of $0.0,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$(0.5) and $0.1)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Adjusted operating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(2.6)%</w:t>
            </w: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line="20" w:lineRule="exact"/>
              <w:rPr>
                <w:sz w:val="1"/>
                <w:szCs w:val="1"/>
                <w:color w:val="auto"/>
              </w:rPr>
            </w:pPr>
          </w:p>
        </w:tc>
      </w:tr>
      <w:tr>
        <w:trPr>
          <w:trHeight w:val="222"/>
        </w:trPr>
        <w:tc>
          <w:tcPr>
            <w:tcW w:w="51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185.3</w:t>
            </w:r>
          </w:p>
        </w:tc>
        <w:tc>
          <w:tcPr>
            <w:tcW w:w="5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190.2</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167.9</w:t>
            </w:r>
          </w:p>
        </w:tc>
        <w:tc>
          <w:tcPr>
            <w:tcW w:w="144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percentage variances that are not meaningful or are explained through the discussion of other variances.</w:t>
      </w:r>
    </w:p>
    <w:p>
      <w:pPr>
        <w:spacing w:after="0" w:line="15" w:lineRule="exact"/>
        <w:rPr>
          <w:sz w:val="20"/>
          <w:szCs w:val="20"/>
          <w:color w:val="auto"/>
        </w:rPr>
      </w:pPr>
    </w:p>
    <w:p>
      <w:pPr>
        <w:ind w:left="460" w:right="40" w:hanging="452"/>
        <w:spacing w:after="0" w:line="25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Basic net income and adjusted operating income per common share include all participating securities using the two-class method. Diluted net income and adjusted operating income per common share include the dilutive impact of non-participating securities, based on the application of the treasury stock method. Shares included in these calculations are weighted for the portion of the period they were outstanding. Antidilutive awards were excluded from the computation of diluted earnings per share.</w:t>
      </w:r>
    </w:p>
    <w:p>
      <w:pPr>
        <w:spacing w:after="0" w:line="14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sets forth pre-tax adjusted operating income, by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8"/>
              </w:rPr>
              <w:t>For the Years Ended December 31,</w:t>
            </w:r>
          </w:p>
        </w:tc>
        <w:tc>
          <w:tcPr>
            <w:tcW w:w="6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Variance (%)</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2012</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560" w:type="dxa"/>
            <w:vAlign w:val="bottom"/>
            <w:gridSpan w:val="2"/>
          </w:tcPr>
          <w:p>
            <w:pPr>
              <w:jc w:val="right"/>
              <w:ind w:right="732"/>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(As adjusted)</w:t>
            </w:r>
          </w:p>
        </w:tc>
        <w:tc>
          <w:tcPr>
            <w:tcW w:w="66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(As adjusted)</w:t>
            </w:r>
          </w:p>
        </w:tc>
        <w:tc>
          <w:tcPr>
            <w:tcW w:w="6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pre-tax adjusted operating income (loss):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Benefits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70.5</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79.1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71.2</w:t>
            </w:r>
          </w:p>
        </w:tc>
        <w:tc>
          <w:tcPr>
            <w:tcW w:w="1560" w:type="dxa"/>
            <w:vAlign w:val="bottom"/>
            <w:gridSpan w:val="2"/>
          </w:tcPr>
          <w:p>
            <w:pPr>
              <w:jc w:val="right"/>
              <w:ind w:right="532"/>
              <w:spacing w:after="0"/>
              <w:rPr>
                <w:sz w:val="20"/>
                <w:szCs w:val="20"/>
                <w:color w:val="auto"/>
              </w:rPr>
            </w:pPr>
            <w:r>
              <w:rPr>
                <w:rFonts w:ascii="Arial" w:cs="Arial" w:eastAsia="Arial" w:hAnsi="Arial"/>
                <w:sz w:val="18"/>
                <w:szCs w:val="18"/>
                <w:color w:val="auto"/>
              </w:rPr>
              <w:t>(10.9)%</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Annuities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102.7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95.8</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72.3</w:t>
            </w:r>
          </w:p>
        </w:tc>
        <w:tc>
          <w:tcPr>
            <w:tcW w:w="156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7.2</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Income Annuities</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33.2</w:t>
            </w:r>
          </w:p>
        </w:tc>
        <w:tc>
          <w:tcPr>
            <w:tcW w:w="1560" w:type="dxa"/>
            <w:vAlign w:val="bottom"/>
            <w:gridSpan w:val="2"/>
          </w:tcPr>
          <w:p>
            <w:pPr>
              <w:jc w:val="right"/>
              <w:ind w:right="732"/>
              <w:spacing w:after="0"/>
              <w:rPr>
                <w:sz w:val="20"/>
                <w:szCs w:val="20"/>
                <w:color w:val="auto"/>
              </w:rPr>
            </w:pPr>
            <w:r>
              <w:rPr>
                <w:rFonts w:ascii="Arial" w:cs="Arial" w:eastAsia="Arial" w:hAnsi="Arial"/>
                <w:sz w:val="18"/>
                <w:szCs w:val="18"/>
                <w:color w:val="auto"/>
              </w:rPr>
              <w:t>28.2</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Individual Life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65.3</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73.2</w:t>
            </w:r>
          </w:p>
        </w:tc>
        <w:tc>
          <w:tcPr>
            <w:tcW w:w="156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(28.0)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(26.1)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(11.4)</w:t>
            </w:r>
          </w:p>
        </w:tc>
        <w:tc>
          <w:tcPr>
            <w:tcW w:w="1560" w:type="dxa"/>
            <w:vAlign w:val="bottom"/>
            <w:gridSpan w:val="2"/>
          </w:tcPr>
          <w:p>
            <w:pPr>
              <w:jc w:val="right"/>
              <w:ind w:right="73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adjusted operating income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239.1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238.5</w:t>
            </w:r>
          </w:p>
        </w:tc>
        <w:tc>
          <w:tcPr>
            <w:tcW w:w="156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(9.6)</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gridSpan w:val="2"/>
            <w:vMerge w:val="restart"/>
          </w:tcPr>
          <w:p>
            <w:pPr>
              <w:ind w:left="420"/>
              <w:spacing w:after="0"/>
              <w:rPr>
                <w:sz w:val="20"/>
                <w:szCs w:val="20"/>
                <w:color w:val="auto"/>
              </w:rPr>
            </w:pPr>
            <w:r>
              <w:rPr>
                <w:rFonts w:ascii="Arial" w:cs="Arial" w:eastAsia="Arial" w:hAnsi="Arial"/>
                <w:sz w:val="18"/>
                <w:szCs w:val="18"/>
                <w:color w:val="auto"/>
              </w:rPr>
              <w:t>Add: Net realized investment gains (losses),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ind w:left="640"/>
              <w:spacing w:after="0"/>
              <w:rPr>
                <w:sz w:val="20"/>
                <w:szCs w:val="20"/>
                <w:color w:val="auto"/>
              </w:rPr>
            </w:pPr>
            <w:r>
              <w:rPr>
                <w:rFonts w:ascii="Arial" w:cs="Arial" w:eastAsia="Arial" w:hAnsi="Arial"/>
                <w:sz w:val="18"/>
                <w:szCs w:val="18"/>
                <w:color w:val="auto"/>
              </w:rPr>
              <w:t>excluding FIA</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9"/>
                <w:szCs w:val="19"/>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39.8</w:t>
            </w:r>
          </w:p>
        </w:tc>
        <w:tc>
          <w:tcPr>
            <w:tcW w:w="1560" w:type="dxa"/>
            <w:vAlign w:val="bottom"/>
            <w:gridSpan w:val="2"/>
          </w:tcPr>
          <w:p>
            <w:pPr>
              <w:jc w:val="right"/>
              <w:ind w:right="73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270.1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278.3</w:t>
            </w:r>
          </w:p>
        </w:tc>
        <w:tc>
          <w:tcPr>
            <w:tcW w:w="15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percentage variances that are not meaningful or are explained through the discussion of other variances.</w:t>
      </w:r>
    </w:p>
    <w:p>
      <w:pPr>
        <w:spacing w:after="0" w:line="15"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a non-GAAP measure. For a definition of this measure, see — “Use of non-GAAP Financial Measures.”</w:t>
      </w:r>
    </w:p>
    <w:p>
      <w:pPr>
        <w:spacing w:after="0" w:line="246" w:lineRule="exact"/>
        <w:rPr>
          <w:sz w:val="20"/>
          <w:szCs w:val="20"/>
          <w:color w:val="auto"/>
        </w:rPr>
      </w:pPr>
    </w:p>
    <w:p>
      <w:pPr>
        <w:ind w:left="240" w:right="5380"/>
        <w:spacing w:after="0" w:line="344" w:lineRule="auto"/>
        <w:rPr>
          <w:sz w:val="20"/>
          <w:szCs w:val="20"/>
          <w:color w:val="auto"/>
        </w:rPr>
      </w:pPr>
      <w:r>
        <w:rPr>
          <w:rFonts w:ascii="Arial" w:cs="Arial" w:eastAsia="Arial" w:hAnsi="Arial"/>
          <w:sz w:val="18"/>
          <w:szCs w:val="18"/>
          <w:b w:val="1"/>
          <w:bCs w:val="1"/>
          <w:i w:val="1"/>
          <w:iCs w:val="1"/>
          <w:color w:val="auto"/>
        </w:rPr>
        <w:t xml:space="preserve">Year Ended December 31, 2012 Compared to the Year Ended December 31, 2011 </w:t>
      </w:r>
      <w:r>
        <w:rPr>
          <w:rFonts w:ascii="Arial" w:cs="Arial" w:eastAsia="Arial" w:hAnsi="Arial"/>
          <w:sz w:val="18"/>
          <w:szCs w:val="18"/>
          <w:i w:val="1"/>
          <w:iCs w:val="1"/>
          <w:color w:val="auto"/>
        </w:rPr>
        <w:t>Summary of Results</w:t>
      </w:r>
    </w:p>
    <w:p>
      <w:pPr>
        <w:spacing w:after="0" w:line="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income increased $9.6 as a result of higher net realized investment gains on our investment portfolio compared to 2011, partially offset by a decline in pre-tax adjusted operating income. In addition, the provision for income taxes decreased $12.7 on lower pre-tax earnings and a lower effective tax rate, which was 24.0% for the year ended December 31, 2012 compared to 28.3% for the same period in 2011. The effective tax rate decreased due to an increase in tax credit investments and the related benefits.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realized investment gains increased $23.9, driven by mark-to-market net gains on our equity securities. Net equity gains were $36.7 for the year ended December 31, 2012 compared to losses of $9.1 for the same period in 2011. This was partially offset by a $14.9 increase in impairments, which were $29.0 for the year ended December 31, 2012, compared to $14.1 for the same period in 2011. For further discussion of our investment results and portfolio refer to — “Investments.”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Further discussion of pre-tax adjusted operating income drivers: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Pre-tax adjusted operating income declined $25.5 from 2011. We experienced lower earnings in two of our four business segments and higher losses in our Other segment. Our earnings results reflect a $42.6 increase in other underwriting and operating expenses over 2011 expense levels. This is primarily due to higher employee-related and professional services expenses related to our Grow &amp; Diversify initiatives.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Included in our 2012 segment results is $24.8 of net investment income, received mainly in the fourth quarter of 2012, related to investment prepayments (primarily bond make-whole premiums from investments in our Deferred Annuities segments, and our prepayment speed adjustment). This compares to $23.0 of prepayment-related income received in 2011. This income was partially offset by related DAC and DSI amortization expenses.</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Benefits segment’s profitability decreased $8.6 for the year ended December 31, 2012, compared to the same period in 2011. This was driven by operating expenses related to our group life and disability income business, a Grow &amp; Diversify initiative. Also contributing to the decline was a higher loss ratio on a larger block of medical stop-loss business.</w:t>
      </w:r>
    </w:p>
    <w:p>
      <w:pPr>
        <w:spacing w:after="0" w:line="14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Our Deferred Annuities segment’s profitability increased $6.9 as the investment margin (net investment income less interest credited) increased $11.4, driven by a $0.8 billion increase in average fixed account value. The higher investment margin was partially offset by higher expenses primarily related to our True VA product.</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Income Annuities segment’s profitability increased $9.9 on mortality gains of $12.9 in 2012, compared to $0.3 for 2011, which was partially offset by the impact of decreased funding services activity.</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Individual Life segment’s profitability decreased $18.3, driven by higher individual claims, a lower BOLI ROA, and increased employee-related expenses, primarily related to the implementation of our Grow &amp; Diversify initiatives.</w:t>
      </w:r>
    </w:p>
    <w:p>
      <w:pPr>
        <w:spacing w:after="0" w:line="132"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Our Other segment’s losses increased $15.4 primarily due to lower net investment income related to our tax credit investments and higher operating expenses. Tax credit investments reduce investment income, but provide tax benefits that help decrease our effective tax rate.</w:t>
      </w:r>
    </w:p>
    <w:p>
      <w:pPr>
        <w:spacing w:after="0" w:line="166" w:lineRule="exact"/>
        <w:rPr>
          <w:sz w:val="20"/>
          <w:szCs w:val="20"/>
          <w:color w:val="auto"/>
        </w:rPr>
      </w:pPr>
    </w:p>
    <w:p>
      <w:pPr>
        <w:ind w:right="5380" w:firstLine="228"/>
        <w:spacing w:after="0" w:line="344" w:lineRule="auto"/>
        <w:rPr>
          <w:sz w:val="20"/>
          <w:szCs w:val="20"/>
          <w:color w:val="auto"/>
        </w:rPr>
      </w:pPr>
      <w:r>
        <w:rPr>
          <w:rFonts w:ascii="Arial" w:cs="Arial" w:eastAsia="Arial" w:hAnsi="Arial"/>
          <w:sz w:val="18"/>
          <w:szCs w:val="18"/>
          <w:b w:val="1"/>
          <w:bCs w:val="1"/>
          <w:i w:val="1"/>
          <w:iCs w:val="1"/>
          <w:color w:val="auto"/>
        </w:rPr>
        <w:t xml:space="preserve">Year Ended December 31, 2011 Compared to the Year Ended December 31, 2010 </w:t>
      </w:r>
      <w:r>
        <w:rPr>
          <w:rFonts w:ascii="Arial" w:cs="Arial" w:eastAsia="Arial" w:hAnsi="Arial"/>
          <w:sz w:val="18"/>
          <w:szCs w:val="18"/>
          <w:i w:val="1"/>
          <w:iCs w:val="1"/>
          <w:color w:val="auto"/>
        </w:rPr>
        <w:t>Summary of Results</w:t>
      </w:r>
    </w:p>
    <w:p>
      <w:pPr>
        <w:spacing w:after="0" w:line="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Net income increased $2.0 as a result of higher pre-tax adjusted operating income, offset by lower net realized investment gains. In addition, the provision for income taxes decreased $7.1 primarily due to lower pre-tax income and an increase in tax credits, which drove a lower effective tax rate, 28.3% for the year ended December 31, 2011 compared to 30.4% for 2010.</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Net realized investment gains decreased $32.9. This was driven by net equity losses related to fair value declines, partially offset by lower impairments of $6.8. Net equity losses were $9.1 in 2011, compared to net gains of $32.6 for the same period in 2010. For further discussion of our investment results and portfolio, including a discussion of our impairment losses, refer to “— Investments”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discussion of pre-tax adjusted operating income drivers: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Pre-tax adjusted operating income increased on higher profitability in three of our four business segments. Included in our 2011 segment results is $23.0 of net investment income, received mainly in the fourth quarter of 2011, related to investment prepayments (primarily bond make-whole premiums from investments in our Deferred Annuities and Life segments, and our prepayment speed adjustment), offset by related DAC and DSI amortization expenses. This compares to $14.5 of prepayment related income in 2010. In addition, other underwriting and operating expenses increased $38.0 over prior year levels, primarily due to higher employee-related expenses and professional services expenses, including costs related to our Grow &amp; Diversify initiatives, as well as operational expenses related to the acquisition of a block of business in July 2011.</w:t>
      </w:r>
    </w:p>
    <w:p>
      <w:pPr>
        <w:spacing w:after="0" w:line="12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Our Benefits segment’s profitability increased $7.9 due to an improved stop-loss loss ratio on a larger block of medical stop-loss business. On July 1, 2011, we assumed medical stop-loss policies and acquired the renewal rights for a block of stop-loss business. The transaction accounts for the majority of the increase in premiums and policyholder benefits and claims. For the full year 2011, the loss ratio decreased to 63.1%, from 64.9%, in 2010.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Our Deferred Annuities segment’s profitability increased $23.5 as our account values grew to $10.6 billion, resulting in a $35.8 increase in the investment margin (net investment income less interest credited). Also contributing to the increase was $9.2 of investment prepayment related income, net of DAC and DSI amortization expenses. The increase in fixed account values also drove an offsetting $10.9 increase in DAC amortization.</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Income Annuities segment’s profitability increased $1.9 on mortality gains and funding services activity that more than offset the impact of lower reserves and lower prepayment speed adjustment income on mortgage-backed securities (MBS).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Individual Life segment’s profitability decreased $7.9 primarily due to the favorable impact of a $7.4 reserve release in the first quarter of 2010 and a $3.6 increase in individual claims. These items were partially offset by increased income on higher BOLI account values and $5.0 of investment prepayment related income.</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Division Operating Results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results of operations and selected operating metrics for our five segments (Benefits, Deferred Annuities, Income Annuities, Individual Life and Other) for the years ended December 31, 2012, 2011 and 2010 are set forth in the following respective sections.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results of operations relating to our Benefits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89"/>
              </w:rPr>
              <w:t>For the Years Ended December 31,</w:t>
            </w:r>
          </w:p>
        </w:tc>
        <w:tc>
          <w:tcPr>
            <w:tcW w:w="5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Variance (%)</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2012</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w w:val="96"/>
              </w:rPr>
              <w:t>2010</w:t>
            </w:r>
          </w:p>
        </w:tc>
        <w:tc>
          <w:tcPr>
            <w:tcW w:w="620" w:type="dxa"/>
            <w:vAlign w:val="bottom"/>
          </w:tcPr>
          <w:p>
            <w:pPr>
              <w:spacing w:after="0"/>
              <w:rPr>
                <w:sz w:val="12"/>
                <w:szCs w:val="12"/>
                <w:color w:val="auto"/>
              </w:rPr>
            </w:pPr>
          </w:p>
        </w:tc>
        <w:tc>
          <w:tcPr>
            <w:tcW w:w="1560" w:type="dxa"/>
            <w:vAlign w:val="bottom"/>
            <w:gridSpan w:val="2"/>
          </w:tcPr>
          <w:p>
            <w:pPr>
              <w:jc w:val="right"/>
              <w:ind w:right="752"/>
              <w:spacing w:after="0" w:line="142" w:lineRule="exact"/>
              <w:rPr>
                <w:sz w:val="20"/>
                <w:szCs w:val="20"/>
                <w:color w:val="auto"/>
              </w:rPr>
            </w:pPr>
            <w:r>
              <w:rPr>
                <w:rFonts w:ascii="Arial" w:cs="Arial" w:eastAsia="Arial" w:hAnsi="Arial"/>
                <w:sz w:val="14"/>
                <w:szCs w:val="14"/>
                <w:b w:val="1"/>
                <w:bCs w:val="1"/>
                <w:color w:val="auto"/>
                <w:w w:val="80"/>
              </w:rPr>
              <w:t>2012 vs. 2011</w:t>
            </w: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20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(As adjusted)</w:t>
            </w:r>
          </w:p>
        </w:tc>
        <w:tc>
          <w:tcPr>
            <w:tcW w:w="620" w:type="dxa"/>
            <w:vAlign w:val="bottom"/>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(As adjusted)</w:t>
            </w:r>
          </w:p>
        </w:tc>
        <w:tc>
          <w:tcPr>
            <w:tcW w:w="6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00" w:type="dxa"/>
            <w:vAlign w:val="bottom"/>
          </w:tcPr>
          <w:p>
            <w:pPr>
              <w:ind w:left="880"/>
              <w:spacing w:after="0"/>
              <w:rPr>
                <w:sz w:val="20"/>
                <w:szCs w:val="20"/>
                <w:color w:val="auto"/>
              </w:rPr>
            </w:pPr>
            <w:r>
              <w:rPr>
                <w:rFonts w:ascii="Arial" w:cs="Arial" w:eastAsia="Arial" w:hAnsi="Arial"/>
                <w:sz w:val="18"/>
                <w:szCs w:val="18"/>
                <w:color w:val="auto"/>
              </w:rPr>
              <w:t>Premiums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568.8</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501.1</w:t>
            </w:r>
          </w:p>
        </w:tc>
        <w:tc>
          <w:tcPr>
            <w:tcW w:w="8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433.2</w:t>
            </w:r>
          </w:p>
        </w:tc>
        <w:tc>
          <w:tcPr>
            <w:tcW w:w="2180" w:type="dxa"/>
            <w:vAlign w:val="bottom"/>
            <w:gridSpan w:val="3"/>
          </w:tcPr>
          <w:p>
            <w:pPr>
              <w:jc w:val="right"/>
              <w:ind w:right="592"/>
              <w:spacing w:after="0"/>
              <w:rPr>
                <w:sz w:val="20"/>
                <w:szCs w:val="20"/>
                <w:color w:val="auto"/>
              </w:rPr>
            </w:pPr>
            <w:r>
              <w:rPr>
                <w:rFonts w:ascii="Arial" w:cs="Arial" w:eastAsia="Arial" w:hAnsi="Arial"/>
                <w:sz w:val="18"/>
                <w:szCs w:val="18"/>
                <w:color w:val="auto"/>
              </w:rPr>
              <w:t>13.5%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r>
      <w:tr>
        <w:trPr>
          <w:trHeight w:val="216"/>
        </w:trPr>
        <w:tc>
          <w:tcPr>
            <w:tcW w:w="5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investment income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180" w:type="dxa"/>
            <w:vAlign w:val="bottom"/>
            <w:gridSpan w:val="3"/>
            <w:shd w:val="clear" w:color="auto" w:fill="CCEEFF"/>
          </w:tcPr>
          <w:p>
            <w:pPr>
              <w:jc w:val="right"/>
              <w:ind w:right="732"/>
              <w:spacing w:after="0"/>
              <w:rPr>
                <w:sz w:val="20"/>
                <w:szCs w:val="20"/>
                <w:color w:val="auto"/>
              </w:rPr>
            </w:pPr>
            <w:r>
              <w:rPr>
                <w:rFonts w:ascii="Arial" w:cs="Arial" w:eastAsia="Arial" w:hAnsi="Arial"/>
                <w:sz w:val="18"/>
                <w:szCs w:val="18"/>
                <w:color w:val="auto"/>
              </w:rPr>
              <w:t>19.9</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r>
      <w:tr>
        <w:trPr>
          <w:trHeight w:val="223"/>
        </w:trPr>
        <w:tc>
          <w:tcPr>
            <w:tcW w:w="5000" w:type="dxa"/>
            <w:vAlign w:val="bottom"/>
          </w:tcPr>
          <w:p>
            <w:pPr>
              <w:ind w:left="880"/>
              <w:spacing w:after="0"/>
              <w:rPr>
                <w:sz w:val="20"/>
                <w:szCs w:val="20"/>
                <w:color w:val="auto"/>
              </w:rPr>
            </w:pPr>
            <w:r>
              <w:rPr>
                <w:rFonts w:ascii="Arial" w:cs="Arial" w:eastAsia="Arial" w:hAnsi="Arial"/>
                <w:sz w:val="18"/>
                <w:szCs w:val="18"/>
                <w:color w:val="auto"/>
              </w:rPr>
              <w:t>Policy fees, contract charges, and other</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180" w:type="dxa"/>
            <w:vAlign w:val="bottom"/>
            <w:gridSpan w:val="3"/>
          </w:tcPr>
          <w:p>
            <w:pPr>
              <w:jc w:val="right"/>
              <w:ind w:right="692"/>
              <w:spacing w:after="0"/>
              <w:rPr>
                <w:sz w:val="20"/>
                <w:szCs w:val="20"/>
                <w:color w:val="auto"/>
              </w:rPr>
            </w:pPr>
            <w:r>
              <w:rPr>
                <w:rFonts w:ascii="Arial" w:cs="Arial" w:eastAsia="Arial" w:hAnsi="Arial"/>
                <w:sz w:val="18"/>
                <w:szCs w:val="18"/>
                <w:color w:val="auto"/>
              </w:rPr>
              <w:t>(21.3)</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20.5</w:t>
            </w: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revenues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601.6</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2180" w:type="dxa"/>
            <w:vAlign w:val="bottom"/>
            <w:gridSpan w:val="3"/>
            <w:shd w:val="clear" w:color="auto" w:fill="CCEEFF"/>
          </w:tcPr>
          <w:p>
            <w:pPr>
              <w:jc w:val="right"/>
              <w:ind w:right="732"/>
              <w:spacing w:after="0"/>
              <w:rPr>
                <w:sz w:val="20"/>
                <w:szCs w:val="20"/>
                <w:color w:val="auto"/>
              </w:rPr>
            </w:pPr>
            <w:r>
              <w:rPr>
                <w:rFonts w:ascii="Arial" w:cs="Arial" w:eastAsia="Arial" w:hAnsi="Arial"/>
                <w:sz w:val="18"/>
                <w:szCs w:val="18"/>
                <w:color w:val="auto"/>
              </w:rPr>
              <w:t>12.8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Benefits and expenses: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Policyholder benefits and claims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370.3</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2180" w:type="dxa"/>
            <w:vAlign w:val="bottom"/>
            <w:gridSpan w:val="3"/>
            <w:shd w:val="clear" w:color="auto" w:fill="CCEEFF"/>
          </w:tcPr>
          <w:p>
            <w:pPr>
              <w:jc w:val="right"/>
              <w:ind w:right="732"/>
              <w:spacing w:after="0"/>
              <w:rPr>
                <w:sz w:val="20"/>
                <w:szCs w:val="20"/>
                <w:color w:val="auto"/>
              </w:rPr>
            </w:pPr>
            <w:r>
              <w:rPr>
                <w:rFonts w:ascii="Arial" w:cs="Arial" w:eastAsia="Arial" w:hAnsi="Arial"/>
                <w:sz w:val="18"/>
                <w:szCs w:val="18"/>
                <w:color w:val="auto"/>
              </w:rPr>
              <w:t>17.1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r>
      <w:tr>
        <w:trPr>
          <w:trHeight w:val="223"/>
        </w:trPr>
        <w:tc>
          <w:tcPr>
            <w:tcW w:w="5000" w:type="dxa"/>
            <w:vAlign w:val="bottom"/>
          </w:tcPr>
          <w:p>
            <w:pPr>
              <w:ind w:left="880"/>
              <w:spacing w:after="0"/>
              <w:rPr>
                <w:sz w:val="20"/>
                <w:szCs w:val="20"/>
                <w:color w:val="auto"/>
              </w:rPr>
            </w:pPr>
            <w:r>
              <w:rPr>
                <w:rFonts w:ascii="Arial" w:cs="Arial" w:eastAsia="Arial" w:hAnsi="Arial"/>
                <w:sz w:val="18"/>
                <w:szCs w:val="18"/>
                <w:color w:val="auto"/>
              </w:rPr>
              <w:t>Other underwriting and operating expenses</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160.8</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2180" w:type="dxa"/>
            <w:vAlign w:val="bottom"/>
            <w:gridSpan w:val="3"/>
          </w:tcPr>
          <w:p>
            <w:pPr>
              <w:jc w:val="right"/>
              <w:ind w:right="732"/>
              <w:spacing w:after="0"/>
              <w:rPr>
                <w:sz w:val="20"/>
                <w:szCs w:val="20"/>
                <w:color w:val="auto"/>
              </w:rPr>
            </w:pPr>
            <w:r>
              <w:rPr>
                <w:rFonts w:ascii="Arial" w:cs="Arial" w:eastAsia="Arial" w:hAnsi="Arial"/>
                <w:sz w:val="18"/>
                <w:szCs w:val="18"/>
                <w:color w:val="auto"/>
              </w:rPr>
              <w:t>16.4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benefits and expenses</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531.1</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2180" w:type="dxa"/>
            <w:vAlign w:val="bottom"/>
            <w:gridSpan w:val="3"/>
            <w:shd w:val="clear" w:color="auto" w:fill="CCEEFF"/>
          </w:tcPr>
          <w:p>
            <w:pPr>
              <w:jc w:val="right"/>
              <w:ind w:right="732"/>
              <w:spacing w:after="0"/>
              <w:rPr>
                <w:sz w:val="20"/>
                <w:szCs w:val="20"/>
                <w:color w:val="auto"/>
              </w:rPr>
            </w:pPr>
            <w:r>
              <w:rPr>
                <w:rFonts w:ascii="Arial" w:cs="Arial" w:eastAsia="Arial" w:hAnsi="Arial"/>
                <w:sz w:val="18"/>
                <w:szCs w:val="18"/>
                <w:color w:val="auto"/>
              </w:rPr>
              <w:t>16.9</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Segment pre-tax adjusted operating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70.5</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79.1</w:t>
            </w:r>
          </w:p>
        </w:tc>
        <w:tc>
          <w:tcPr>
            <w:tcW w:w="8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71.2</w:t>
            </w:r>
          </w:p>
        </w:tc>
        <w:tc>
          <w:tcPr>
            <w:tcW w:w="2180" w:type="dxa"/>
            <w:vAlign w:val="bottom"/>
            <w:gridSpan w:val="3"/>
          </w:tcPr>
          <w:p>
            <w:pPr>
              <w:jc w:val="right"/>
              <w:ind w:right="532"/>
              <w:spacing w:after="0"/>
              <w:rPr>
                <w:sz w:val="20"/>
                <w:szCs w:val="20"/>
                <w:color w:val="auto"/>
              </w:rPr>
            </w:pPr>
            <w:r>
              <w:rPr>
                <w:rFonts w:ascii="Arial" w:cs="Arial" w:eastAsia="Arial" w:hAnsi="Arial"/>
                <w:sz w:val="18"/>
                <w:szCs w:val="18"/>
                <w:color w:val="auto"/>
              </w:rPr>
              <w:t>(10.9)%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r>
      <w:tr>
        <w:trPr>
          <w:trHeight w:val="20"/>
        </w:trPr>
        <w:tc>
          <w:tcPr>
            <w:tcW w:w="5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selected historical operating metrics relating to our Benefits segment for the years ended:</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85"/>
              </w:rPr>
              <w:t>December 31,</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2012</w:t>
            </w:r>
          </w:p>
        </w:tc>
        <w:tc>
          <w:tcPr>
            <w:tcW w:w="9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(As adjusted)</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(As adjusted)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Loss ratio (1)</w:t>
            </w:r>
          </w:p>
        </w:tc>
        <w:tc>
          <w:tcPr>
            <w:tcW w:w="34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3"/>
              </w:rPr>
              <w:t>64.9%</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Expense ratio (2)</w:t>
            </w:r>
          </w:p>
        </w:tc>
        <w:tc>
          <w:tcPr>
            <w:tcW w:w="19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79"/>
              </w:rPr>
              <w:t>24.8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Combined ratio (3)</w:t>
            </w:r>
          </w:p>
        </w:tc>
        <w:tc>
          <w:tcPr>
            <w:tcW w:w="19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9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89.7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Medical stop-loss – loss ratio (4)</w:t>
            </w:r>
          </w:p>
        </w:tc>
        <w:tc>
          <w:tcPr>
            <w:tcW w:w="1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vMerge w:val="continue"/>
          </w:tcPr>
          <w:p>
            <w:pPr>
              <w:spacing w:after="0"/>
              <w:rPr>
                <w:sz w:val="18"/>
                <w:szCs w:val="18"/>
                <w:color w:val="auto"/>
              </w:rPr>
            </w:pPr>
          </w:p>
        </w:tc>
        <w:tc>
          <w:tcPr>
            <w:tcW w:w="3400" w:type="dxa"/>
            <w:vAlign w:val="bottom"/>
            <w:gridSpan w:val="3"/>
          </w:tcPr>
          <w:p>
            <w:pPr>
              <w:jc w:val="right"/>
              <w:ind w:right="920"/>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64.7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ind w:left="300"/>
              <w:spacing w:after="0"/>
              <w:rPr>
                <w:sz w:val="20"/>
                <w:szCs w:val="20"/>
                <w:color w:val="auto"/>
              </w:rPr>
            </w:pPr>
            <w:r>
              <w:rPr>
                <w:rFonts w:ascii="Arial" w:cs="Arial" w:eastAsia="Arial" w:hAnsi="Arial"/>
                <w:sz w:val="18"/>
                <w:szCs w:val="18"/>
                <w:color w:val="auto"/>
                <w:w w:val="79"/>
              </w:rPr>
              <w:t>66.6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sales (5)</w:t>
            </w:r>
          </w:p>
        </w:tc>
        <w:tc>
          <w:tcPr>
            <w:tcW w:w="340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$159.3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118.7</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95.5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500" w:type="dxa"/>
            <w:vAlign w:val="bottom"/>
          </w:tcPr>
          <w:p>
            <w:pPr>
              <w:spacing w:after="0"/>
              <w:rPr>
                <w:sz w:val="24"/>
                <w:szCs w:val="24"/>
                <w:color w:val="auto"/>
              </w:rPr>
            </w:pPr>
          </w:p>
        </w:tc>
        <w:tc>
          <w:tcPr>
            <w:tcW w:w="1980" w:type="dxa"/>
            <w:vAlign w:val="bottom"/>
          </w:tcPr>
          <w:p>
            <w:pPr>
              <w:jc w:val="right"/>
              <w:ind w:right="512"/>
              <w:spacing w:after="0"/>
              <w:rPr>
                <w:sz w:val="20"/>
                <w:szCs w:val="20"/>
                <w:color w:val="auto"/>
              </w:rPr>
            </w:pPr>
            <w:r>
              <w:rPr>
                <w:rFonts w:ascii="Arial" w:cs="Arial" w:eastAsia="Arial" w:hAnsi="Arial"/>
                <w:sz w:val="18"/>
                <w:szCs w:val="18"/>
                <w:color w:val="auto"/>
              </w:rPr>
              <w:t>74</w:t>
            </w: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Loss ratio represents policyholder benefits and claims incurred divided by premiums earned.</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Expense ratio is equal to other underwriting and operating expenses of our insurance operations divided by premiums earned.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Combined ratio is equal to the sum of the loss ratio and the expense ratio.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Medical stop-loss — loss ratio represents medical stop-loss policyholder benefits and incurred claims divided by medical stop-loss premiums earned.</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Total sales represents annualized first-year premiums net of first year policy lapses.</w:t>
      </w:r>
    </w:p>
    <w:p>
      <w:pPr>
        <w:spacing w:after="0" w:line="246" w:lineRule="exact"/>
        <w:rPr>
          <w:sz w:val="20"/>
          <w:szCs w:val="20"/>
          <w:color w:val="auto"/>
        </w:rPr>
      </w:pPr>
    </w:p>
    <w:p>
      <w:pPr>
        <w:ind w:left="240" w:right="5360"/>
        <w:spacing w:after="0" w:line="344" w:lineRule="auto"/>
        <w:rPr>
          <w:sz w:val="20"/>
          <w:szCs w:val="20"/>
          <w:color w:val="auto"/>
        </w:rPr>
      </w:pPr>
      <w:r>
        <w:rPr>
          <w:rFonts w:ascii="Arial" w:cs="Arial" w:eastAsia="Arial" w:hAnsi="Arial"/>
          <w:sz w:val="18"/>
          <w:szCs w:val="18"/>
          <w:b w:val="1"/>
          <w:bCs w:val="1"/>
          <w:i w:val="1"/>
          <w:iCs w:val="1"/>
          <w:color w:val="auto"/>
        </w:rPr>
        <w:t xml:space="preserve">Year Ended December 31, 2012 Compared to the Year Ended December 31, 2011 </w:t>
      </w:r>
      <w:r>
        <w:rPr>
          <w:rFonts w:ascii="Arial" w:cs="Arial" w:eastAsia="Arial" w:hAnsi="Arial"/>
          <w:sz w:val="18"/>
          <w:szCs w:val="18"/>
          <w:i w:val="1"/>
          <w:iCs w:val="1"/>
          <w:color w:val="auto"/>
        </w:rPr>
        <w:t>Summary of Results</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Segment pre-tax adjusted operating income decreased $8.6, primarily the result of increased operating expenses related to the expansion of our group life and disability operations. Also contributing to the decline was a higher loss ratio on a larger block of medical stop-loss business. The loss ratio, which was in line with our long-term target range, increased to 65.1% for the year ended December 31, 2012, compared to 63.1% for the same period in 2011. Growth in our block of medical stop-loss business was a result of strong sales and premium related to the block of business acquired in July 2011.</w:t>
      </w:r>
    </w:p>
    <w:p>
      <w:pPr>
        <w:spacing w:after="0" w:line="11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 addition to the drivers discussed above, we consider the following information regarding operating revenues and benefits and expenses useful in understanding our results.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Premiums increased $67.7 driven by organic growth from strong 2012 sales, as well as the medical stop-loss block of business acquired in July 2011.</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Benefits and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Policyholder benefits and claims increased $54.2 driven by growth in our medical stop-loss business, including the block of business acquired in July 2011.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Also contributing to the increase was higher limited benefit medical claims for 2012, compared to 2011.</w:t>
      </w:r>
    </w:p>
    <w:p>
      <w:pPr>
        <w:spacing w:after="0" w:line="16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$22.7 increase in other underwriting and operating expenses was driven by expenses related to the expansion of our group life and disability operations as part of our Grow &amp; Diversify strategy, and higher commissions and incentive compensation due to growth in our business.</w:t>
      </w:r>
    </w:p>
    <w:p>
      <w:pPr>
        <w:spacing w:after="0" w:line="166" w:lineRule="exact"/>
        <w:rPr>
          <w:sz w:val="20"/>
          <w:szCs w:val="20"/>
          <w:color w:val="auto"/>
        </w:rPr>
      </w:pPr>
    </w:p>
    <w:p>
      <w:pPr>
        <w:ind w:left="240" w:right="5360"/>
        <w:spacing w:after="0" w:line="344" w:lineRule="auto"/>
        <w:rPr>
          <w:sz w:val="20"/>
          <w:szCs w:val="20"/>
          <w:color w:val="auto"/>
        </w:rPr>
      </w:pPr>
      <w:r>
        <w:rPr>
          <w:rFonts w:ascii="Arial" w:cs="Arial" w:eastAsia="Arial" w:hAnsi="Arial"/>
          <w:sz w:val="18"/>
          <w:szCs w:val="18"/>
          <w:b w:val="1"/>
          <w:bCs w:val="1"/>
          <w:i w:val="1"/>
          <w:iCs w:val="1"/>
          <w:color w:val="auto"/>
        </w:rPr>
        <w:t xml:space="preserve">Year Ended December 31, 2011 Compared to the Year Ended December 31, 2010 </w:t>
      </w:r>
      <w:r>
        <w:rPr>
          <w:rFonts w:ascii="Arial" w:cs="Arial" w:eastAsia="Arial" w:hAnsi="Arial"/>
          <w:sz w:val="18"/>
          <w:szCs w:val="18"/>
          <w:i w:val="1"/>
          <w:iCs w:val="1"/>
          <w:color w:val="auto"/>
        </w:rPr>
        <w:t>Summary of Results</w:t>
      </w:r>
    </w:p>
    <w:p>
      <w:pPr>
        <w:spacing w:after="0" w:line="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Segment pre-tax adjusted operating income increased $7.9, primarily the result of an improved loss ratio and the block of business acquired in July 2011. For the year ended December 31, 2011, the loss ratio improved to 63.1%, compared to 64.9% for the same period in 2010, which was driven by a focus on pricing discipline during our 2010 and 2011 policy year renewals.</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 addition to the drivers discussed above, we consider the following information regarding operating revenues and benefits and expenses useful in understanding our results.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Premiums increased $67.9 driven by the block of business acquired in July 2011 and a $9.2 increase in limited benefit medical premiums, a result of higher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Benefits and Expenses</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Policyholder benefits and claims increased $34.8 primarily driven by the block of business acquired in July 2011. Overall, the loss ratio decreased from 2010, which reflects a lower frequency and severity of claims as well as our pricing discipline during our 2010 and 2011 policy year renewals.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increase in other underwriting and operating expenses of $27.0 was primarily related to the block of business acquired in July 2011. Also contributing to the increase were higher employee related costs, increased commissions and $3.0 of expenses related to the expansion of our group life and disability operations as part of the Grow &amp; Diversify strategy.</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Deferred Annuities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results of operations relating to our Deferred Annuities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60" w:type="dxa"/>
            <w:vAlign w:val="bottom"/>
            <w:gridSpan w:val="6"/>
          </w:tcPr>
          <w:p>
            <w:pPr>
              <w:ind w:left="100"/>
              <w:spacing w:after="0"/>
              <w:rPr>
                <w:sz w:val="20"/>
                <w:szCs w:val="20"/>
                <w:color w:val="auto"/>
              </w:rPr>
            </w:pPr>
            <w:r>
              <w:rPr>
                <w:rFonts w:ascii="Arial" w:cs="Arial" w:eastAsia="Arial" w:hAnsi="Arial"/>
                <w:sz w:val="14"/>
                <w:szCs w:val="14"/>
                <w:b w:val="1"/>
                <w:bCs w:val="1"/>
                <w:color w:val="auto"/>
                <w:w w:val="88"/>
              </w:rPr>
              <w:t>For the Years Ended December 31,</w:t>
            </w: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2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Variance (%)</w:t>
            </w:r>
          </w:p>
        </w:tc>
      </w:tr>
      <w:tr>
        <w:trPr>
          <w:trHeight w:val="142"/>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5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89"/>
              </w:rPr>
              <w:t>2010</w:t>
            </w:r>
          </w:p>
        </w:tc>
        <w:tc>
          <w:tcPr>
            <w:tcW w:w="60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2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(As adjusted)</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(As adjusted)</w:t>
            </w:r>
          </w:p>
        </w:tc>
        <w:tc>
          <w:tcPr>
            <w:tcW w:w="6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 revenues:</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880"/>
              <w:spacing w:after="0"/>
              <w:rPr>
                <w:sz w:val="20"/>
                <w:szCs w:val="20"/>
                <w:color w:val="auto"/>
              </w:rPr>
            </w:pPr>
            <w:r>
              <w:rPr>
                <w:rFonts w:ascii="Arial" w:cs="Arial" w:eastAsia="Arial" w:hAnsi="Arial"/>
                <w:sz w:val="18"/>
                <w:szCs w:val="18"/>
                <w:color w:val="auto"/>
              </w:rPr>
              <w:t>Net investment income</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$547.2</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527.6</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462.9</w:t>
            </w:r>
          </w:p>
        </w:tc>
        <w:tc>
          <w:tcPr>
            <w:tcW w:w="2060" w:type="dxa"/>
            <w:vAlign w:val="bottom"/>
            <w:gridSpan w:val="3"/>
          </w:tcPr>
          <w:p>
            <w:pPr>
              <w:jc w:val="right"/>
              <w:ind w:right="560"/>
              <w:spacing w:after="0"/>
              <w:rPr>
                <w:sz w:val="20"/>
                <w:szCs w:val="20"/>
                <w:color w:val="auto"/>
              </w:rPr>
            </w:pPr>
            <w:r>
              <w:rPr>
                <w:rFonts w:ascii="Arial" w:cs="Arial" w:eastAsia="Arial" w:hAnsi="Arial"/>
                <w:sz w:val="18"/>
                <w:szCs w:val="18"/>
                <w:color w:val="auto"/>
              </w:rPr>
              <w:t>3.7%</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r>
      <w:tr>
        <w:trPr>
          <w:trHeight w:val="216"/>
        </w:trPr>
        <w:tc>
          <w:tcPr>
            <w:tcW w:w="52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Policy fees, contract charges, and 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r>
      <w:tr>
        <w:trPr>
          <w:trHeight w:val="223"/>
        </w:trPr>
        <w:tc>
          <w:tcPr>
            <w:tcW w:w="5200" w:type="dxa"/>
            <w:vAlign w:val="bottom"/>
            <w:gridSpan w:val="2"/>
          </w:tcPr>
          <w:p>
            <w:pPr>
              <w:ind w:left="880"/>
              <w:spacing w:after="0"/>
              <w:rPr>
                <w:sz w:val="20"/>
                <w:szCs w:val="20"/>
                <w:color w:val="auto"/>
              </w:rPr>
            </w:pPr>
            <w:r>
              <w:rPr>
                <w:rFonts w:ascii="Arial" w:cs="Arial" w:eastAsia="Arial" w:hAnsi="Arial"/>
                <w:sz w:val="18"/>
                <w:szCs w:val="18"/>
                <w:color w:val="auto"/>
              </w:rPr>
              <w:t>Net realized gains (losses) – FIA</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operating revenues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7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r>
      <w:tr>
        <w:trPr>
          <w:trHeight w:val="216"/>
        </w:trPr>
        <w:tc>
          <w:tcPr>
            <w:tcW w:w="5200" w:type="dxa"/>
            <w:vAlign w:val="bottom"/>
            <w:gridSpan w:val="2"/>
          </w:tcPr>
          <w:p>
            <w:pPr>
              <w:ind w:left="440"/>
              <w:spacing w:after="0"/>
              <w:rPr>
                <w:sz w:val="20"/>
                <w:szCs w:val="20"/>
                <w:color w:val="auto"/>
              </w:rPr>
            </w:pPr>
            <w:r>
              <w:rPr>
                <w:rFonts w:ascii="Arial" w:cs="Arial" w:eastAsia="Arial" w:hAnsi="Arial"/>
                <w:sz w:val="18"/>
                <w:szCs w:val="18"/>
                <w:color w:val="auto"/>
              </w:rPr>
              <w:t>Benefits and expenses:</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Policyholder benefits and claims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(100.0)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r>
      <w:tr>
        <w:trPr>
          <w:trHeight w:val="216"/>
        </w:trPr>
        <w:tc>
          <w:tcPr>
            <w:tcW w:w="5200" w:type="dxa"/>
            <w:vAlign w:val="bottom"/>
            <w:gridSpan w:val="2"/>
          </w:tcPr>
          <w:p>
            <w:pPr>
              <w:ind w:left="880"/>
              <w:spacing w:after="0"/>
              <w:rPr>
                <w:sz w:val="20"/>
                <w:szCs w:val="20"/>
                <w:color w:val="auto"/>
              </w:rPr>
            </w:pPr>
            <w:r>
              <w:rPr>
                <w:rFonts w:ascii="Arial" w:cs="Arial" w:eastAsia="Arial" w:hAnsi="Arial"/>
                <w:sz w:val="18"/>
                <w:szCs w:val="18"/>
                <w:color w:val="auto"/>
              </w:rPr>
              <w:t>Interest credited</w:t>
            </w:r>
          </w:p>
        </w:tc>
        <w:tc>
          <w:tcPr>
            <w:tcW w:w="500" w:type="dxa"/>
            <w:vAlign w:val="bottom"/>
          </w:tcPr>
          <w:p>
            <w:pPr>
              <w:jc w:val="right"/>
              <w:spacing w:after="0"/>
              <w:rPr>
                <w:sz w:val="20"/>
                <w:szCs w:val="20"/>
                <w:color w:val="auto"/>
              </w:rPr>
            </w:pPr>
            <w:r>
              <w:rPr>
                <w:rFonts w:ascii="Arial" w:cs="Arial" w:eastAsia="Arial" w:hAnsi="Arial"/>
                <w:sz w:val="18"/>
                <w:szCs w:val="18"/>
                <w:color w:val="auto"/>
              </w:rPr>
              <w:t>330.7</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322.5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293.6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7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r>
      <w:tr>
        <w:trPr>
          <w:trHeight w:val="216"/>
        </w:trPr>
        <w:tc>
          <w:tcPr>
            <w:tcW w:w="52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 underwriting and operating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7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r>
      <w:tr>
        <w:trPr>
          <w:trHeight w:val="223"/>
        </w:trPr>
        <w:tc>
          <w:tcPr>
            <w:tcW w:w="5200" w:type="dxa"/>
            <w:vAlign w:val="bottom"/>
            <w:gridSpan w:val="2"/>
          </w:tcPr>
          <w:p>
            <w:pPr>
              <w:ind w:left="880"/>
              <w:spacing w:after="0"/>
              <w:rPr>
                <w:sz w:val="20"/>
                <w:szCs w:val="20"/>
                <w:color w:val="auto"/>
              </w:rPr>
            </w:pPr>
            <w:r>
              <w:rPr>
                <w:rFonts w:ascii="Arial" w:cs="Arial" w:eastAsia="Arial" w:hAnsi="Arial"/>
                <w:sz w:val="18"/>
                <w:szCs w:val="18"/>
                <w:color w:val="auto"/>
              </w:rPr>
              <w:t>Amortization of deferred policy acquisition costs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2060" w:type="dxa"/>
            <w:vAlign w:val="bottom"/>
            <w:gridSpan w:val="3"/>
          </w:tcPr>
          <w:p>
            <w:pPr>
              <w:jc w:val="right"/>
              <w:ind w:right="640"/>
              <w:spacing w:after="0"/>
              <w:rPr>
                <w:sz w:val="20"/>
                <w:szCs w:val="20"/>
                <w:color w:val="auto"/>
              </w:rPr>
            </w:pPr>
            <w:r>
              <w:rPr>
                <w:rFonts w:ascii="Arial" w:cs="Arial" w:eastAsia="Arial" w:hAnsi="Arial"/>
                <w:sz w:val="18"/>
                <w:szCs w:val="18"/>
                <w:color w:val="auto"/>
              </w:rPr>
              <w:t>(8.4)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22.5</w:t>
            </w:r>
          </w:p>
        </w:tc>
      </w:tr>
      <w:tr>
        <w:trPr>
          <w:trHeight w:val="216"/>
        </w:trPr>
        <w:tc>
          <w:tcPr>
            <w:tcW w:w="5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benefits and expenses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7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r>
      <w:tr>
        <w:trPr>
          <w:trHeight w:val="222"/>
        </w:trPr>
        <w:tc>
          <w:tcPr>
            <w:tcW w:w="5200" w:type="dxa"/>
            <w:vAlign w:val="bottom"/>
            <w:gridSpan w:val="2"/>
          </w:tcPr>
          <w:p>
            <w:pPr>
              <w:spacing w:after="0"/>
              <w:rPr>
                <w:sz w:val="20"/>
                <w:szCs w:val="20"/>
                <w:color w:val="auto"/>
              </w:rPr>
            </w:pPr>
            <w:r>
              <w:rPr>
                <w:rFonts w:ascii="Arial" w:cs="Arial" w:eastAsia="Arial" w:hAnsi="Arial"/>
                <w:sz w:val="18"/>
                <w:szCs w:val="18"/>
                <w:color w:val="auto"/>
              </w:rPr>
              <w:t>Segment pre-tax adjusted operating income</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102.7</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95.8</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72.3</w:t>
            </w:r>
          </w:p>
        </w:tc>
        <w:tc>
          <w:tcPr>
            <w:tcW w:w="2060" w:type="dxa"/>
            <w:vAlign w:val="bottom"/>
            <w:gridSpan w:val="3"/>
          </w:tcPr>
          <w:p>
            <w:pPr>
              <w:jc w:val="right"/>
              <w:ind w:right="560"/>
              <w:spacing w:after="0"/>
              <w:rPr>
                <w:sz w:val="20"/>
                <w:szCs w:val="20"/>
                <w:color w:val="auto"/>
              </w:rPr>
            </w:pPr>
            <w:r>
              <w:rPr>
                <w:rFonts w:ascii="Arial" w:cs="Arial" w:eastAsia="Arial" w:hAnsi="Arial"/>
                <w:sz w:val="18"/>
                <w:szCs w:val="18"/>
                <w:color w:val="auto"/>
              </w:rPr>
              <w:t>7.2%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32.5%</w:t>
            </w: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percentage variances that are not meaningful or are explained through the discussion of other variances.</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following table sets forth selected historical operating metrics relating to our Deferred Annuities segment as of, or for the years ended:</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7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account values—General account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11,063.4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10,613.1</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9,243.7</w:t>
            </w:r>
          </w:p>
        </w:tc>
        <w:tc>
          <w:tcPr>
            <w:tcW w:w="2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Variable account values—Separate account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723.3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713.8</w:t>
            </w:r>
          </w:p>
        </w:tc>
        <w:tc>
          <w:tcPr>
            <w:tcW w:w="7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791.1</w:t>
            </w:r>
          </w:p>
        </w:tc>
        <w:tc>
          <w:tcPr>
            <w:tcW w:w="2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spread (1)</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Base earned yield (2)</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5.04%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5.28%</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Base credited yield (2)</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7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0" w:type="dxa"/>
            <w:vAlign w:val="bottom"/>
            <w:shd w:val="clear" w:color="auto" w:fill="CCEEFF"/>
          </w:tcPr>
          <w:p>
            <w:pPr>
              <w:spacing w:after="0"/>
              <w:rPr>
                <w:sz w:val="18"/>
                <w:szCs w:val="18"/>
                <w:color w:val="auto"/>
              </w:rPr>
            </w:pP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Base interest spread (2)</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w:t>
            </w:r>
          </w:p>
        </w:tc>
        <w:tc>
          <w:tcPr>
            <w:tcW w:w="7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9"/>
                <w:szCs w:val="19"/>
                <w:color w:val="auto"/>
              </w:rPr>
            </w:pPr>
          </w:p>
        </w:tc>
      </w:tr>
      <w:tr>
        <w:trPr>
          <w:trHeight w:val="217"/>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sales (3)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1,146.6</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1,815.3</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$1,810.7</w:t>
            </w:r>
          </w:p>
        </w:tc>
        <w:tc>
          <w:tcPr>
            <w:tcW w:w="2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Interest spread is the difference between the net investment yield and the credited rate to policyholders. The net investment yield is the approximate yield on invested assets in the general account attributed to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4" w:lineRule="auto"/>
        <w:rPr>
          <w:sz w:val="20"/>
          <w:szCs w:val="20"/>
          <w:color w:val="auto"/>
        </w:rPr>
      </w:pPr>
      <w:r>
        <w:rPr>
          <w:rFonts w:ascii="Arial" w:cs="Arial" w:eastAsia="Arial" w:hAnsi="Arial"/>
          <w:sz w:val="18"/>
          <w:szCs w:val="18"/>
          <w:color w:val="auto"/>
        </w:rPr>
        <w:t>segment. The credited rate is the approximate rate credited on policyholder fixed account values. Interest credited is subject to contractual terms, including minimum guarantees.</w:t>
      </w:r>
    </w:p>
    <w:p>
      <w:pPr>
        <w:ind w:left="460" w:right="200" w:hanging="452"/>
        <w:spacing w:after="0" w:line="281"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 interest spread is the interest spread adjusted to exclude items that can vary significantly from period to period due to a number of factors and, therefore, may contribute to results that are not indicative of the underlying trends. This is primarily the impact of asset prepayments, such as bond make whole premiums net of related deferred sales inducement amortization, and the MBS prepayment speed adjustment.</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Total sales represent deposits for new policies net of first year policy lapses and/or surrenders.</w:t>
      </w:r>
    </w:p>
    <w:p>
      <w:pPr>
        <w:spacing w:after="0" w:line="246" w:lineRule="exact"/>
        <w:rPr>
          <w:sz w:val="20"/>
          <w:szCs w:val="20"/>
          <w:color w:val="auto"/>
        </w:rPr>
      </w:pPr>
    </w:p>
    <w:p>
      <w:pPr>
        <w:ind w:left="240" w:right="5340"/>
        <w:spacing w:after="0" w:line="344" w:lineRule="auto"/>
        <w:rPr>
          <w:sz w:val="20"/>
          <w:szCs w:val="20"/>
          <w:color w:val="auto"/>
        </w:rPr>
      </w:pPr>
      <w:r>
        <w:rPr>
          <w:rFonts w:ascii="Arial" w:cs="Arial" w:eastAsia="Arial" w:hAnsi="Arial"/>
          <w:sz w:val="18"/>
          <w:szCs w:val="18"/>
          <w:b w:val="1"/>
          <w:bCs w:val="1"/>
          <w:i w:val="1"/>
          <w:iCs w:val="1"/>
          <w:color w:val="auto"/>
        </w:rPr>
        <w:t xml:space="preserve">Year Ended December 31, 2012 Compared to the Year Ended December 31, 2011 </w:t>
      </w:r>
      <w:r>
        <w:rPr>
          <w:rFonts w:ascii="Arial" w:cs="Arial" w:eastAsia="Arial" w:hAnsi="Arial"/>
          <w:sz w:val="18"/>
          <w:szCs w:val="18"/>
          <w:i w:val="1"/>
          <w:iCs w:val="1"/>
          <w:color w:val="auto"/>
        </w:rPr>
        <w:t>Summary of Results</w:t>
      </w:r>
    </w:p>
    <w:p>
      <w:pPr>
        <w:spacing w:after="0" w:line="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Segment pre-tax adjusted operating income increased $6.9, primarily driven by higher fixed account values and a stable interest spread, as well as lower DAC amortization. Our base earned yield continued to decline as a result of the low interest rate environment; however, base interest spreads were slightly higher year-over-year, reflecting disciplined pricing on new business and management of renewal crediting rates on existing business. These results were partially offset by higher operating expenses related to our True VA product.</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Deferred Annuities’ sales decreased 37% in 2012 compared to 2011. This was primarily the result of the low interest rate environment, which we believe has driven a decline in overall industry sales of deferred annuities and increased competition for customers.</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addition to the drivers discussed above, we consider the following information regarding operating revenues and benefits and expenses useful in understanding our results.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Revenues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investment income increased $19.6, driven by a $0.9 billion increase in average invested assets due to higher fixed annuities account values. This growth was partially offset by lower portfolio yields, which was the result of lower yields on recent fixed maturity purchases and commercial mortgage loan originations, and prepayments of higher yielding assets. We received prepayment-related income of $11.9, net of related DAC and DSI amortization, compared to $9.2 in 2011.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Benefits and Expenses</w:t>
      </w:r>
    </w:p>
    <w:p>
      <w:pPr>
        <w:spacing w:after="0" w:line="9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Interest credited increased $8.2, primarily due to a $0.8 billion increase in average fixed annuities account values. Typically DAC amortization increases as account values increase; however, we experienced a $5.0 decrease in DAC amortization primarily as a result of lower lapses than assumed in our DAC models.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underwriting and operating expenses increased $11.6, primarily related to expenses associated with our True VA product.</w:t>
      </w:r>
    </w:p>
    <w:p>
      <w:pPr>
        <w:spacing w:after="0" w:line="252" w:lineRule="exact"/>
        <w:rPr>
          <w:sz w:val="20"/>
          <w:szCs w:val="20"/>
          <w:color w:val="auto"/>
        </w:rPr>
      </w:pPr>
    </w:p>
    <w:p>
      <w:pPr>
        <w:ind w:left="240" w:right="5340"/>
        <w:spacing w:after="0" w:line="344" w:lineRule="auto"/>
        <w:rPr>
          <w:sz w:val="20"/>
          <w:szCs w:val="20"/>
          <w:color w:val="auto"/>
        </w:rPr>
      </w:pPr>
      <w:r>
        <w:rPr>
          <w:rFonts w:ascii="Arial" w:cs="Arial" w:eastAsia="Arial" w:hAnsi="Arial"/>
          <w:sz w:val="18"/>
          <w:szCs w:val="18"/>
          <w:b w:val="1"/>
          <w:bCs w:val="1"/>
          <w:i w:val="1"/>
          <w:iCs w:val="1"/>
          <w:color w:val="auto"/>
        </w:rPr>
        <w:t xml:space="preserve">Year Ended December 31, 2011 Compared to the Year Ended December 31, 2010 </w:t>
      </w:r>
      <w:r>
        <w:rPr>
          <w:rFonts w:ascii="Arial" w:cs="Arial" w:eastAsia="Arial" w:hAnsi="Arial"/>
          <w:sz w:val="18"/>
          <w:szCs w:val="18"/>
          <w:i w:val="1"/>
          <w:iCs w:val="1"/>
          <w:color w:val="auto"/>
        </w:rPr>
        <w:t>Summary of Results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Segment pre-tax adjusted operating income increased $23.5 primarily driven by higher fixed annuities account values, which increased $1.4 billion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$10.6 billion. Also contributing to the increase in income was $9.2 of investment prepayment related income, net of related DAC and DSI amortization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majority of which was received in the fourth quarter of 2011. As a result of the low interest rate environment, fixed maturity yields decreased; however, base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spreads were slightly higher year-over-year, reflecting disciplined pricing on new business and management of renewal crediting rates on existing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16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addition to the drivers discussed above, we consider the following information regarding operating revenues and benefits and expenses useful in understanding our results.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Revenues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Net investment income increased $64.7, driven by a $1.5 billion increase in average invested assets from increased fixed annuities account values. In addition, we received $14.0 of investment prepayment related income, primarily in the fourth quarter of 2011. The growth in average invested assets was partially offset by lower yields on fixed maturity purchases.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Benefits and Expenses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credited increased $28.9, primarily due to a $1.4 billion increase in fixed annuities account values. The higher account values also drove a $10.9 increase in DAC amortization. Additionally, DAC and DSI amortization related to investment prepayment income received in the fourth quarter of 2011 increased interest credited and DAC amortization.</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Income Annuities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results of operations relating to our Income Annuities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For the Years Ended December 31,</w:t>
            </w:r>
          </w:p>
        </w:tc>
        <w:tc>
          <w:tcPr>
            <w:tcW w:w="44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Variance (%)</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2012</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2011</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3"/>
              </w:rPr>
              <w:t>2010</w:t>
            </w:r>
          </w:p>
        </w:tc>
        <w:tc>
          <w:tcPr>
            <w:tcW w:w="640" w:type="dxa"/>
            <w:vAlign w:val="bottom"/>
          </w:tcPr>
          <w:p>
            <w:pPr>
              <w:spacing w:after="0"/>
              <w:rPr>
                <w:sz w:val="12"/>
                <w:szCs w:val="12"/>
                <w:color w:val="auto"/>
              </w:rPr>
            </w:pPr>
          </w:p>
        </w:tc>
        <w:tc>
          <w:tcPr>
            <w:tcW w:w="1700" w:type="dxa"/>
            <w:vAlign w:val="bottom"/>
            <w:gridSpan w:val="2"/>
          </w:tcPr>
          <w:p>
            <w:pPr>
              <w:jc w:val="right"/>
              <w:ind w:right="812"/>
              <w:spacing w:after="0" w:line="142" w:lineRule="exact"/>
              <w:rPr>
                <w:sz w:val="20"/>
                <w:szCs w:val="20"/>
                <w:color w:val="auto"/>
              </w:rPr>
            </w:pPr>
            <w:r>
              <w:rPr>
                <w:rFonts w:ascii="Arial" w:cs="Arial" w:eastAsia="Arial" w:hAnsi="Arial"/>
                <w:sz w:val="14"/>
                <w:szCs w:val="14"/>
                <w:b w:val="1"/>
                <w:bCs w:val="1"/>
                <w:color w:val="auto"/>
                <w:w w:val="89"/>
              </w:rPr>
              <w:t>2012 vs. 2011</w:t>
            </w:r>
          </w:p>
        </w:tc>
        <w:tc>
          <w:tcPr>
            <w:tcW w:w="88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89"/>
              </w:rPr>
              <w:t>2011 vs.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tcBorders>
            <w:gridSpan w:val="2"/>
            <w:shd w:val="clear" w:color="auto" w:fill="CCEEFF"/>
          </w:tcPr>
          <w:p>
            <w:pPr>
              <w:ind w:left="440"/>
              <w:spacing w:after="0" w:line="196" w:lineRule="exact"/>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88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409.9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413.1</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w w:val="93"/>
              </w:rPr>
              <w:t>422.7</w:t>
            </w:r>
          </w:p>
        </w:tc>
        <w:tc>
          <w:tcPr>
            <w:tcW w:w="1700" w:type="dxa"/>
            <w:vAlign w:val="bottom"/>
            <w:gridSpan w:val="2"/>
          </w:tcPr>
          <w:p>
            <w:pPr>
              <w:jc w:val="right"/>
              <w:ind w:right="532"/>
              <w:spacing w:after="0"/>
              <w:rPr>
                <w:sz w:val="20"/>
                <w:szCs w:val="20"/>
                <w:color w:val="auto"/>
              </w:rPr>
            </w:pPr>
            <w:r>
              <w:rPr>
                <w:rFonts w:ascii="Arial" w:cs="Arial" w:eastAsia="Arial" w:hAnsi="Arial"/>
                <w:sz w:val="18"/>
                <w:szCs w:val="18"/>
                <w:color w:val="auto"/>
              </w:rPr>
              <w:t>(0.8)%</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Policy fees, contract charges, and other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operating revenues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800" w:type="dxa"/>
            <w:vAlign w:val="bottom"/>
          </w:tcPr>
          <w:p>
            <w:pPr>
              <w:spacing w:after="0" w:line="20" w:lineRule="exact"/>
              <w:rPr>
                <w:sz w:val="1"/>
                <w:szCs w:val="1"/>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416.7</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414.9</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w w:val="93"/>
              </w:rPr>
              <w:t>423.5</w:t>
            </w:r>
          </w:p>
        </w:tc>
        <w:tc>
          <w:tcPr>
            <w:tcW w:w="90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Benefits and expenses: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880"/>
              <w:spacing w:after="0"/>
              <w:rPr>
                <w:sz w:val="20"/>
                <w:szCs w:val="20"/>
                <w:color w:val="auto"/>
              </w:rPr>
            </w:pPr>
            <w:r>
              <w:rPr>
                <w:rFonts w:ascii="Arial" w:cs="Arial" w:eastAsia="Arial" w:hAnsi="Arial"/>
                <w:sz w:val="18"/>
                <w:szCs w:val="18"/>
                <w:color w:val="auto"/>
              </w:rPr>
              <w:t>Interest credited</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346.0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353.0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w w:val="93"/>
              </w:rPr>
              <w:t>366.3</w:t>
            </w:r>
          </w:p>
        </w:tc>
        <w:tc>
          <w:tcPr>
            <w:tcW w:w="1700" w:type="dxa"/>
            <w:vAlign w:val="bottom"/>
            <w:gridSpan w:val="2"/>
          </w:tcPr>
          <w:p>
            <w:pPr>
              <w:jc w:val="right"/>
              <w:ind w:right="672"/>
              <w:spacing w:after="0"/>
              <w:rPr>
                <w:sz w:val="20"/>
                <w:szCs w:val="20"/>
                <w:color w:val="auto"/>
              </w:rPr>
            </w:pPr>
            <w:r>
              <w:rPr>
                <w:rFonts w:ascii="Arial" w:cs="Arial" w:eastAsia="Arial" w:hAnsi="Arial"/>
                <w:sz w:val="18"/>
                <w:szCs w:val="18"/>
                <w:color w:val="auto"/>
              </w:rPr>
              <w:t>(2.0)</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 underwriting and operating expenses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22.0</w:t>
            </w:r>
          </w:p>
        </w:tc>
        <w:tc>
          <w:tcPr>
            <w:tcW w:w="170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(7.0)</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000" w:type="dxa"/>
            <w:vAlign w:val="bottom"/>
            <w:gridSpan w:val="2"/>
          </w:tcPr>
          <w:p>
            <w:pPr>
              <w:ind w:left="880"/>
              <w:spacing w:after="0"/>
              <w:rPr>
                <w:sz w:val="20"/>
                <w:szCs w:val="20"/>
                <w:color w:val="auto"/>
              </w:rPr>
            </w:pPr>
            <w:r>
              <w:rPr>
                <w:rFonts w:ascii="Arial" w:cs="Arial" w:eastAsia="Arial" w:hAnsi="Arial"/>
                <w:sz w:val="18"/>
                <w:szCs w:val="18"/>
                <w:color w:val="auto"/>
              </w:rPr>
              <w:t>Amortization of deferred policy acquisition costs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2.0</w:t>
            </w:r>
          </w:p>
        </w:tc>
        <w:tc>
          <w:tcPr>
            <w:tcW w:w="900" w:type="dxa"/>
            <w:vAlign w:val="bottom"/>
          </w:tcPr>
          <w:p>
            <w:pPr>
              <w:jc w:val="right"/>
              <w:spacing w:after="0"/>
              <w:rPr>
                <w:sz w:val="20"/>
                <w:szCs w:val="20"/>
                <w:color w:val="auto"/>
              </w:rPr>
            </w:pPr>
            <w:r>
              <w:rPr>
                <w:rFonts w:ascii="Arial" w:cs="Arial" w:eastAsia="Arial" w:hAnsi="Arial"/>
                <w:sz w:val="18"/>
                <w:szCs w:val="18"/>
                <w:color w:val="auto"/>
              </w:rPr>
              <w:t>24.0</w:t>
            </w:r>
          </w:p>
        </w:tc>
        <w:tc>
          <w:tcPr>
            <w:tcW w:w="8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benefits and expenses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371.7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379.8</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3"/>
              </w:rPr>
              <w:t>390.3</w:t>
            </w:r>
          </w:p>
        </w:tc>
        <w:tc>
          <w:tcPr>
            <w:tcW w:w="170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(2.1)</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Segment pre-tax adjusted operating income</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gridSpan w:val="2"/>
            <w:vMerge w:val="restart"/>
          </w:tcPr>
          <w:p>
            <w:pPr>
              <w:jc w:val="right"/>
              <w:ind w:right="592"/>
              <w:spacing w:after="0"/>
              <w:rPr>
                <w:sz w:val="20"/>
                <w:szCs w:val="20"/>
                <w:color w:val="auto"/>
              </w:rPr>
            </w:pPr>
            <w:r>
              <w:rPr>
                <w:rFonts w:ascii="Arial" w:cs="Arial" w:eastAsia="Arial" w:hAnsi="Arial"/>
                <w:sz w:val="18"/>
                <w:szCs w:val="18"/>
                <w:color w:val="auto"/>
              </w:rPr>
              <w:t>28.2%</w:t>
            </w: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45.0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35.1</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33.2</w:t>
            </w:r>
          </w:p>
        </w:tc>
        <w:tc>
          <w:tcPr>
            <w:tcW w:w="1700" w:type="dxa"/>
            <w:vAlign w:val="bottom"/>
            <w:gridSpan w:val="2"/>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percentage variances that are not meaningful or are explained through the discussion of other variances.</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sets forth selected historical operating metrics relating to our Income Annuities segment as of, or for the years ended:</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36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Reserves (1)</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6,566.5</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6,608.3</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6,676.8</w:t>
            </w:r>
          </w:p>
        </w:tc>
        <w:tc>
          <w:tcPr>
            <w:tcW w:w="2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Interest spread (2)</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0.58%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0.53%</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0.57%</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Base earned yield</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6.11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Base credited yield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5.57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5.61</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5.63</w:t>
            </w:r>
          </w:p>
        </w:tc>
        <w:tc>
          <w:tcPr>
            <w:tcW w:w="200" w:type="dxa"/>
            <w:vAlign w:val="bottom"/>
          </w:tcPr>
          <w:p>
            <w:pPr>
              <w:spacing w:after="0"/>
              <w:rPr>
                <w:sz w:val="18"/>
                <w:szCs w:val="18"/>
                <w:color w:val="auto"/>
              </w:rPr>
            </w:pPr>
          </w:p>
        </w:tc>
      </w:tr>
      <w:tr>
        <w:trPr>
          <w:trHeight w:val="27"/>
        </w:trPr>
        <w:tc>
          <w:tcPr>
            <w:tcW w:w="4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Base interest spread (3)</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MBS prepayment speed adjustment (4)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0.6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7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Mortality gains (losses) (5)</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Total sales (6)</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258.2</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221.9</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260.0</w:t>
            </w: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66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Reserves represent the present value of future income annuity benefits and assumed expenses, discounted by the assumed interest rate. This metric represents the amount of our in-force book of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hanging="452"/>
        <w:spacing w:after="0" w:line="286"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Interest spread is the difference between the net investment yield and the credited rate to policyholders. The net investment yield is the approximate yield on invested assets in the general account attributed to the segment. The credited rate is the approximate rate credited on policyholder reserves.</w:t>
      </w:r>
    </w:p>
    <w:p>
      <w:pPr>
        <w:ind w:left="460" w:right="200" w:hanging="452"/>
        <w:spacing w:after="0" w:line="250"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 interest spread is the interest spread adjusted to exclude items that can vary significantly from period to period due to a number of factors and, therefore, may contribute to yields that are not indicative of the underlying trends. This is primarily the impact of asset prepayments, such as bond make whole premiums and the MBS prepayment speed adjustment.</w:t>
      </w:r>
    </w:p>
    <w:p>
      <w:pPr>
        <w:spacing w:after="0" w:line="1" w:lineRule="exact"/>
        <w:rPr>
          <w:rFonts w:ascii="Arial" w:cs="Arial" w:eastAsia="Arial" w:hAnsi="Arial"/>
          <w:sz w:val="18"/>
          <w:szCs w:val="18"/>
          <w:color w:val="auto"/>
        </w:rPr>
      </w:pPr>
    </w:p>
    <w:p>
      <w:pPr>
        <w:ind w:left="460" w:right="620" w:hanging="452"/>
        <w:spacing w:after="0" w:line="250"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MBS prepayment speed adjustment is the impact to net investment income due to the change in prepayment speeds on the underlying collateral of mortgage-backed securities.</w:t>
      </w: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Mortality gains (losses) represent the difference between actual and expected reserves released on our life contingent annuities.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Total sales represent deposits for new policies net of first year policy lapses and/or surrenders.</w:t>
      </w:r>
    </w:p>
    <w:p>
      <w:pPr>
        <w:spacing w:after="0" w:line="246" w:lineRule="exact"/>
        <w:rPr>
          <w:sz w:val="20"/>
          <w:szCs w:val="20"/>
          <w:color w:val="auto"/>
        </w:rPr>
      </w:pPr>
    </w:p>
    <w:p>
      <w:pPr>
        <w:ind w:left="240" w:right="5300"/>
        <w:spacing w:after="0" w:line="344" w:lineRule="auto"/>
        <w:rPr>
          <w:sz w:val="20"/>
          <w:szCs w:val="20"/>
          <w:color w:val="auto"/>
        </w:rPr>
      </w:pPr>
      <w:r>
        <w:rPr>
          <w:rFonts w:ascii="Arial" w:cs="Arial" w:eastAsia="Arial" w:hAnsi="Arial"/>
          <w:sz w:val="18"/>
          <w:szCs w:val="18"/>
          <w:b w:val="1"/>
          <w:bCs w:val="1"/>
          <w:i w:val="1"/>
          <w:iCs w:val="1"/>
          <w:color w:val="auto"/>
        </w:rPr>
        <w:t xml:space="preserve">Year Ended December 31, 2012 Compared to the Year Ended December 31, 2011 </w:t>
      </w:r>
      <w:r>
        <w:rPr>
          <w:rFonts w:ascii="Arial" w:cs="Arial" w:eastAsia="Arial" w:hAnsi="Arial"/>
          <w:sz w:val="18"/>
          <w:szCs w:val="18"/>
          <w:i w:val="1"/>
          <w:iCs w:val="1"/>
          <w:color w:val="auto"/>
        </w:rPr>
        <w:t>Summary of Results</w:t>
      </w:r>
    </w:p>
    <w:p>
      <w:pPr>
        <w:spacing w:after="0" w:line="1"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Segment pre-tax adjusted operating income increased $9.9 primarily due favorable mortality experience. Mortality gains increased to $12.9 for 2012, compared to gains of $0.3 for 2011. In addition, fee revenue earned on sales of third-party structured settlements increased $4.3 compared to 2011, due to significantly higher sales. These increases were partially offset by decreased funding services activity and lower reserves.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drivers discussed above, we consider the following information regarding benefits and expenses useful in understanding our results.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investment income decreased $3.2 due to lower average invested assets and lower yields. Policy fees, contract charges, and other increased $5.0</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primarily from fee revenue earned on increased sales of third-party structured settlements. The sales agreement with the third party was terminated in early 2013.</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Benefits and Expenses</w:t>
      </w:r>
    </w:p>
    <w:p>
      <w:pPr>
        <w:spacing w:after="0" w:line="9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Interest credited decreased $7.0 driven by favorable mortality experience and decreased crediting rates on slightly lower reserves, offset by decreased funding services activity due to a decline in case volume. Mortality experience is volatile and can fluctuate significantly from quarter to quarter.</w:t>
      </w:r>
    </w:p>
    <w:p>
      <w:pPr>
        <w:spacing w:after="0" w:line="166" w:lineRule="exact"/>
        <w:rPr>
          <w:sz w:val="20"/>
          <w:szCs w:val="20"/>
          <w:color w:val="auto"/>
        </w:rPr>
      </w:pPr>
    </w:p>
    <w:p>
      <w:pPr>
        <w:ind w:left="240" w:right="5300"/>
        <w:spacing w:after="0" w:line="344" w:lineRule="auto"/>
        <w:rPr>
          <w:sz w:val="20"/>
          <w:szCs w:val="20"/>
          <w:color w:val="auto"/>
        </w:rPr>
      </w:pPr>
      <w:r>
        <w:rPr>
          <w:rFonts w:ascii="Arial" w:cs="Arial" w:eastAsia="Arial" w:hAnsi="Arial"/>
          <w:sz w:val="18"/>
          <w:szCs w:val="18"/>
          <w:b w:val="1"/>
          <w:bCs w:val="1"/>
          <w:i w:val="1"/>
          <w:iCs w:val="1"/>
          <w:color w:val="auto"/>
        </w:rPr>
        <w:t xml:space="preserve">Year Ended December 31, 2011 Compared to the Year Ended December 31, 2010 </w:t>
      </w:r>
      <w:r>
        <w:rPr>
          <w:rFonts w:ascii="Arial" w:cs="Arial" w:eastAsia="Arial" w:hAnsi="Arial"/>
          <w:sz w:val="18"/>
          <w:szCs w:val="18"/>
          <w:i w:val="1"/>
          <w:iCs w:val="1"/>
          <w:color w:val="auto"/>
        </w:rPr>
        <w:t>Summary of Results</w:t>
      </w:r>
    </w:p>
    <w:p>
      <w:pPr>
        <w:spacing w:after="0" w:line="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Segment pre-tax adjusted operating income increased $1.9 on mortality gains and funding services activity that more than offset the impact of lower reserves and lower MBS prepayment speed adjustment income.</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 addition to the driver discussed above, we consider the following information regarding operating revenues and benefits and expenses useful in understanding our results.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Revenues</w:t>
      </w:r>
    </w:p>
    <w:p>
      <w:pPr>
        <w:spacing w:after="0" w:line="9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Net investment income decreased $9.6 due to declines in average invested assets on lower reserves and lower year-over-year investment prepayment related income. In addition, we experienced lower investment yields on fixed maturity purchases and mortgage loan originations.</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40"/>
          </w:cols>
          <w:pgMar w:left="240" w:top="459" w:right="3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Benefits and Expenses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Interest credited decreased $13.3 due to favorable changes in mortality experience, increased funding services activity and lower reserves. We experienced mortality gains of $0.3 for 2011, compared to losses of $2.6 for 2010. Funding services increased $5.9 during 2011 driven by an increase in the number of cases factored.</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Individual Life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results of operations relating to our Individual Life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87"/>
              </w:rPr>
              <w:t>For the Years Ended December 31,</w:t>
            </w:r>
          </w:p>
        </w:tc>
        <w:tc>
          <w:tcPr>
            <w:tcW w:w="58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Variance (%)</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2012</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w w:val="96"/>
              </w:rPr>
              <w:t>2010</w:t>
            </w:r>
          </w:p>
        </w:tc>
        <w:tc>
          <w:tcPr>
            <w:tcW w:w="580" w:type="dxa"/>
            <w:vAlign w:val="bottom"/>
          </w:tcPr>
          <w:p>
            <w:pPr>
              <w:spacing w:after="0"/>
              <w:rPr>
                <w:sz w:val="12"/>
                <w:szCs w:val="12"/>
                <w:color w:val="auto"/>
              </w:rPr>
            </w:pPr>
          </w:p>
        </w:tc>
        <w:tc>
          <w:tcPr>
            <w:tcW w:w="1540" w:type="dxa"/>
            <w:vAlign w:val="bottom"/>
            <w:gridSpan w:val="2"/>
          </w:tcPr>
          <w:p>
            <w:pPr>
              <w:jc w:val="right"/>
              <w:ind w:right="712"/>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260" w:type="dxa"/>
            <w:vAlign w:val="bottom"/>
          </w:tcPr>
          <w:p>
            <w:pPr>
              <w:spacing w:after="0"/>
              <w:rPr>
                <w:sz w:val="12"/>
                <w:szCs w:val="12"/>
                <w:color w:val="auto"/>
              </w:rPr>
            </w:pPr>
          </w:p>
        </w:tc>
      </w:tr>
      <w:tr>
        <w:trPr>
          <w:trHeight w:val="142"/>
        </w:trPr>
        <w:tc>
          <w:tcPr>
            <w:tcW w:w="5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(As adjusted)</w:t>
            </w:r>
          </w:p>
        </w:tc>
        <w:tc>
          <w:tcPr>
            <w:tcW w:w="600" w:type="dxa"/>
            <w:vAlign w:val="bottom"/>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(As adjusted)</w:t>
            </w:r>
          </w:p>
        </w:tc>
        <w:tc>
          <w:tcPr>
            <w:tcW w:w="5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040" w:type="dxa"/>
            <w:vAlign w:val="bottom"/>
          </w:tcPr>
          <w:p>
            <w:pPr>
              <w:ind w:left="880"/>
              <w:spacing w:after="0"/>
              <w:rPr>
                <w:sz w:val="20"/>
                <w:szCs w:val="20"/>
                <w:color w:val="auto"/>
              </w:rPr>
            </w:pPr>
            <w:r>
              <w:rPr>
                <w:rFonts w:ascii="Arial" w:cs="Arial" w:eastAsia="Arial" w:hAnsi="Arial"/>
                <w:sz w:val="18"/>
                <w:szCs w:val="18"/>
                <w:color w:val="auto"/>
              </w:rPr>
              <w:t>Premiums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36.2</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39.4</w:t>
            </w:r>
          </w:p>
        </w:tc>
        <w:tc>
          <w:tcPr>
            <w:tcW w:w="8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39.8</w:t>
            </w:r>
          </w:p>
        </w:tc>
        <w:tc>
          <w:tcPr>
            <w:tcW w:w="2120" w:type="dxa"/>
            <w:vAlign w:val="bottom"/>
            <w:gridSpan w:val="3"/>
          </w:tcPr>
          <w:p>
            <w:pPr>
              <w:jc w:val="right"/>
              <w:ind w:right="512"/>
              <w:spacing w:after="0"/>
              <w:rPr>
                <w:sz w:val="20"/>
                <w:szCs w:val="20"/>
                <w:color w:val="auto"/>
              </w:rPr>
            </w:pPr>
            <w:r>
              <w:rPr>
                <w:rFonts w:ascii="Arial" w:cs="Arial" w:eastAsia="Arial" w:hAnsi="Arial"/>
                <w:sz w:val="18"/>
                <w:szCs w:val="18"/>
                <w:color w:val="auto"/>
              </w:rPr>
              <w:t>(8.1)%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5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284.4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212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rPr>
              <w:t>(1.4)</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w:t>
            </w:r>
          </w:p>
        </w:tc>
      </w:tr>
      <w:tr>
        <w:trPr>
          <w:trHeight w:val="223"/>
        </w:trPr>
        <w:tc>
          <w:tcPr>
            <w:tcW w:w="5040" w:type="dxa"/>
            <w:vAlign w:val="bottom"/>
          </w:tcPr>
          <w:p>
            <w:pPr>
              <w:ind w:left="880"/>
              <w:spacing w:after="0"/>
              <w:rPr>
                <w:sz w:val="20"/>
                <w:szCs w:val="20"/>
                <w:color w:val="auto"/>
              </w:rPr>
            </w:pPr>
            <w:r>
              <w:rPr>
                <w:rFonts w:ascii="Arial" w:cs="Arial" w:eastAsia="Arial" w:hAnsi="Arial"/>
                <w:sz w:val="18"/>
                <w:szCs w:val="18"/>
                <w:color w:val="auto"/>
              </w:rPr>
              <w:t>Policy fees, contract charges, and other</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129.6</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2120" w:type="dxa"/>
            <w:vAlign w:val="bottom"/>
            <w:gridSpan w:val="3"/>
          </w:tcPr>
          <w:p>
            <w:pPr>
              <w:jc w:val="right"/>
              <w:ind w:right="712"/>
              <w:spacing w:after="0"/>
              <w:rPr>
                <w:sz w:val="20"/>
                <w:szCs w:val="20"/>
                <w:color w:val="auto"/>
              </w:rPr>
            </w:pPr>
            <w:r>
              <w:rPr>
                <w:rFonts w:ascii="Arial" w:cs="Arial" w:eastAsia="Arial" w:hAnsi="Arial"/>
                <w:sz w:val="18"/>
                <w:szCs w:val="18"/>
                <w:color w:val="auto"/>
              </w:rPr>
              <w:t>4.4</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revenues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450.2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212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rPr>
              <w:t>(0.4)</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Benefits and expenses: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Policyholder benefits and claims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120" w:type="dxa"/>
            <w:vAlign w:val="bottom"/>
            <w:gridSpan w:val="3"/>
            <w:shd w:val="clear" w:color="auto" w:fill="CCEEFF"/>
          </w:tcPr>
          <w:p>
            <w:pPr>
              <w:jc w:val="right"/>
              <w:ind w:right="712"/>
              <w:spacing w:after="0"/>
              <w:rPr>
                <w:sz w:val="20"/>
                <w:szCs w:val="20"/>
                <w:color w:val="auto"/>
              </w:rPr>
            </w:pPr>
            <w:r>
              <w:rPr>
                <w:rFonts w:ascii="Arial" w:cs="Arial" w:eastAsia="Arial" w:hAnsi="Arial"/>
                <w:sz w:val="18"/>
                <w:szCs w:val="18"/>
                <w:color w:val="auto"/>
              </w:rPr>
              <w:t>5.5</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w:t>
            </w:r>
          </w:p>
        </w:tc>
      </w:tr>
      <w:tr>
        <w:trPr>
          <w:trHeight w:val="216"/>
        </w:trPr>
        <w:tc>
          <w:tcPr>
            <w:tcW w:w="5040" w:type="dxa"/>
            <w:vAlign w:val="bottom"/>
          </w:tcPr>
          <w:p>
            <w:pPr>
              <w:ind w:left="880"/>
              <w:spacing w:after="0"/>
              <w:rPr>
                <w:sz w:val="20"/>
                <w:szCs w:val="20"/>
                <w:color w:val="auto"/>
              </w:rPr>
            </w:pPr>
            <w:r>
              <w:rPr>
                <w:rFonts w:ascii="Arial" w:cs="Arial" w:eastAsia="Arial" w:hAnsi="Arial"/>
                <w:sz w:val="18"/>
                <w:szCs w:val="18"/>
                <w:color w:val="auto"/>
              </w:rPr>
              <w:t>Interest credited</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258.2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253.0</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242.7</w:t>
            </w:r>
          </w:p>
        </w:tc>
        <w:tc>
          <w:tcPr>
            <w:tcW w:w="2120" w:type="dxa"/>
            <w:vAlign w:val="bottom"/>
            <w:gridSpan w:val="3"/>
          </w:tcPr>
          <w:p>
            <w:pPr>
              <w:jc w:val="right"/>
              <w:ind w:right="712"/>
              <w:spacing w:after="0"/>
              <w:rPr>
                <w:sz w:val="20"/>
                <w:szCs w:val="20"/>
                <w:color w:val="auto"/>
              </w:rPr>
            </w:pPr>
            <w:r>
              <w:rPr>
                <w:rFonts w:ascii="Arial" w:cs="Arial" w:eastAsia="Arial" w:hAnsi="Arial"/>
                <w:sz w:val="18"/>
                <w:szCs w:val="18"/>
                <w:color w:val="auto"/>
              </w:rPr>
              <w:t>2.1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r>
      <w:tr>
        <w:trPr>
          <w:trHeight w:val="216"/>
        </w:trPr>
        <w:tc>
          <w:tcPr>
            <w:tcW w:w="5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underwriting and operating 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2120" w:type="dxa"/>
            <w:vAlign w:val="bottom"/>
            <w:gridSpan w:val="3"/>
            <w:shd w:val="clear" w:color="auto" w:fill="CCEEFF"/>
          </w:tcPr>
          <w:p>
            <w:pPr>
              <w:jc w:val="right"/>
              <w:ind w:right="712"/>
              <w:spacing w:after="0"/>
              <w:rPr>
                <w:sz w:val="20"/>
                <w:szCs w:val="20"/>
                <w:color w:val="auto"/>
              </w:rPr>
            </w:pPr>
            <w:r>
              <w:rPr>
                <w:rFonts w:ascii="Arial" w:cs="Arial" w:eastAsia="Arial" w:hAnsi="Arial"/>
                <w:sz w:val="18"/>
                <w:szCs w:val="18"/>
                <w:color w:val="auto"/>
              </w:rPr>
              <w:t>9.9</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w:t>
            </w:r>
          </w:p>
        </w:tc>
      </w:tr>
      <w:tr>
        <w:trPr>
          <w:trHeight w:val="223"/>
        </w:trPr>
        <w:tc>
          <w:tcPr>
            <w:tcW w:w="5040" w:type="dxa"/>
            <w:vAlign w:val="bottom"/>
          </w:tcPr>
          <w:p>
            <w:pPr>
              <w:ind w:left="880"/>
              <w:spacing w:after="0"/>
              <w:rPr>
                <w:sz w:val="20"/>
                <w:szCs w:val="20"/>
                <w:color w:val="auto"/>
              </w:rPr>
            </w:pPr>
            <w:r>
              <w:rPr>
                <w:rFonts w:ascii="Arial" w:cs="Arial" w:eastAsia="Arial" w:hAnsi="Arial"/>
                <w:sz w:val="18"/>
                <w:szCs w:val="18"/>
                <w:color w:val="auto"/>
              </w:rPr>
              <w:t>Amortization of deferred policy acquisition costs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120" w:type="dxa"/>
            <w:vAlign w:val="bottom"/>
            <w:gridSpan w:val="3"/>
          </w:tcPr>
          <w:p>
            <w:pPr>
              <w:jc w:val="right"/>
              <w:ind w:right="712"/>
              <w:spacing w:after="0"/>
              <w:rPr>
                <w:sz w:val="20"/>
                <w:szCs w:val="20"/>
                <w:color w:val="auto"/>
              </w:rPr>
            </w:pPr>
            <w:r>
              <w:rPr>
                <w:rFonts w:ascii="Arial" w:cs="Arial" w:eastAsia="Arial" w:hAnsi="Arial"/>
                <w:sz w:val="18"/>
                <w:szCs w:val="18"/>
                <w:color w:val="auto"/>
              </w:rPr>
              <w:t>22.9</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89.2</w:t>
            </w: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benefits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403.2</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2120" w:type="dxa"/>
            <w:vAlign w:val="bottom"/>
            <w:gridSpan w:val="3"/>
            <w:shd w:val="clear" w:color="auto" w:fill="CCEEFF"/>
          </w:tcPr>
          <w:p>
            <w:pPr>
              <w:jc w:val="right"/>
              <w:ind w:right="712"/>
              <w:spacing w:after="0"/>
              <w:rPr>
                <w:sz w:val="20"/>
                <w:szCs w:val="20"/>
                <w:color w:val="auto"/>
              </w:rPr>
            </w:pPr>
            <w:r>
              <w:rPr>
                <w:rFonts w:ascii="Arial" w:cs="Arial" w:eastAsia="Arial" w:hAnsi="Arial"/>
                <w:sz w:val="18"/>
                <w:szCs w:val="18"/>
                <w:color w:val="auto"/>
              </w:rPr>
              <w:t>4.3</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Segment pre-tax adjusted operating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47.0</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65.3</w:t>
            </w:r>
          </w:p>
        </w:tc>
        <w:tc>
          <w:tcPr>
            <w:tcW w:w="8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73.2</w:t>
            </w:r>
          </w:p>
        </w:tc>
        <w:tc>
          <w:tcPr>
            <w:tcW w:w="2120" w:type="dxa"/>
            <w:vAlign w:val="bottom"/>
            <w:gridSpan w:val="3"/>
          </w:tcPr>
          <w:p>
            <w:pPr>
              <w:jc w:val="right"/>
              <w:ind w:right="512"/>
              <w:spacing w:after="0"/>
              <w:rPr>
                <w:sz w:val="20"/>
                <w:szCs w:val="20"/>
                <w:color w:val="auto"/>
              </w:rPr>
            </w:pPr>
            <w:r>
              <w:rPr>
                <w:rFonts w:ascii="Arial" w:cs="Arial" w:eastAsia="Arial" w:hAnsi="Arial"/>
                <w:sz w:val="18"/>
                <w:szCs w:val="18"/>
                <w:color w:val="auto"/>
              </w:rPr>
              <w:t>(28.0)%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r>
      <w:tr>
        <w:trPr>
          <w:trHeight w:val="20"/>
        </w:trPr>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selected historical operating metrics relating to our Individual Life segment as of, or for the years ended:</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6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196"/>
        </w:trPr>
        <w:tc>
          <w:tcPr>
            <w:tcW w:w="4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Individual insurance:</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Individual claims (1)</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61.0</w:t>
            </w:r>
          </w:p>
        </w:tc>
        <w:tc>
          <w:tcPr>
            <w:tcW w:w="4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54.3</w:t>
            </w:r>
          </w:p>
        </w:tc>
        <w:tc>
          <w:tcPr>
            <w:tcW w:w="7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18"/>
                <w:szCs w:val="18"/>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UL account value (2)</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200" w:type="dxa"/>
            <w:vAlign w:val="bottom"/>
            <w:shd w:val="clear" w:color="auto" w:fill="CCEEFF"/>
          </w:tcPr>
          <w:p>
            <w:pPr>
              <w:spacing w:after="0"/>
              <w:rPr>
                <w:sz w:val="18"/>
                <w:szCs w:val="18"/>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UL interest spread (3)</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2.84%</w:t>
            </w: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UL base interest spread (4)</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Individual sales (5)</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9.1</w:t>
            </w:r>
          </w:p>
        </w:tc>
        <w:tc>
          <w:tcPr>
            <w:tcW w:w="4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80"/>
              <w:spacing w:after="0"/>
              <w:rPr>
                <w:sz w:val="20"/>
                <w:szCs w:val="20"/>
                <w:color w:val="auto"/>
              </w:rPr>
            </w:pPr>
            <w:r>
              <w:rPr>
                <w:rFonts w:ascii="Arial" w:cs="Arial" w:eastAsia="Arial" w:hAnsi="Arial"/>
                <w:sz w:val="18"/>
                <w:szCs w:val="18"/>
                <w:color w:val="auto"/>
              </w:rPr>
              <w:t>11.7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BOLI:</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BOLI account value (2)</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4,659.8</w:t>
            </w:r>
          </w:p>
        </w:tc>
        <w:tc>
          <w:tcPr>
            <w:tcW w:w="4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4,491.5</w:t>
            </w:r>
          </w:p>
        </w:tc>
        <w:tc>
          <w:tcPr>
            <w:tcW w:w="7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4,365.4</w:t>
            </w:r>
          </w:p>
        </w:tc>
        <w:tc>
          <w:tcPr>
            <w:tcW w:w="200" w:type="dxa"/>
            <w:vAlign w:val="bottom"/>
          </w:tcPr>
          <w:p>
            <w:pPr>
              <w:spacing w:after="0"/>
              <w:rPr>
                <w:sz w:val="18"/>
                <w:szCs w:val="18"/>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BOLI ROA (6)</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BOLI base ROA (7)</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0.88%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0.98%</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0.97%</w:t>
            </w: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BOLI sales (8)</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Individual claims represents incurred claims, net of reinsurance, on our term and universal life policies.</w:t>
      </w:r>
    </w:p>
    <w:p>
      <w:pPr>
        <w:spacing w:after="0" w:line="15"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UL account value and BOLI account value represent our liabilities to our policyholders. UL account values include SPL account values of $208.8, $161.6 and $78.5 as of December 31, 2012, 2011 and 2010.</w:t>
      </w:r>
    </w:p>
    <w:p>
      <w:pPr>
        <w:ind w:left="460" w:right="200" w:hanging="452"/>
        <w:spacing w:after="0" w:line="302"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UL interest spread excludes SPL and is the difference between the net investment yield and the credited rate to policyholders. The net investment yield is the approximate yield on invested assets in the general account attributed to UL policies. The credited rate is the approximate rate credited on UL policyholder fixed account values. Interest credited is subject to contractual terms, including minimum guarantees.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84"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UL base interest spread excludes SPL and is UL interest spread adjusted to exclude items that can vary significantly from period to period due to a number of factors and, therefore, may contribute to results that are not indicative of underlying trends. This is primarily the impact of asset prepayments, such as bond make whole premiums net of related bonus interest amortization, the MBS prepayment speed adjustment and reserve adjustments.</w:t>
      </w:r>
    </w:p>
    <w:p>
      <w:pPr>
        <w:spacing w:after="0" w:line="1"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Individual sales represents annualized first year premiums for recurring premium products, and 10% of new single premium deposits net of first year policy lapses and/or surrenders.</w:t>
      </w:r>
    </w:p>
    <w:p>
      <w:pPr>
        <w:ind w:left="460" w:right="20" w:hanging="452"/>
        <w:spacing w:after="0" w:line="281"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BOLI ROA is a measure of the gross margin on our BOLI book of business. This metric is calculated as the difference between our BOLI revenue earnings rate and our BOLI policy benefits rate. The revenue earnings rate is calculated as revenues divided by average invested assets. The policy benefits rate is calculated as total policy benefits divided by average account value. The policy benefits used in this metric do not include expenses.</w:t>
      </w:r>
    </w:p>
    <w:p>
      <w:pPr>
        <w:spacing w:after="0" w:line="2"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BOLI base ROA is BOLI ROA adjusted to exclude items that can vary significantly from period to period due to a number of factors and, therefore, may contribute to yields that are not indicative of the underlying trends. This is primarily the impact of asset prepayments, such as bond make whole premiums, the MBS prepayment speed adjustment, and reserve adjustments.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BOLI sales represent 10% of new BOLI total deposits.</w:t>
      </w:r>
    </w:p>
    <w:p>
      <w:pPr>
        <w:spacing w:after="0" w:line="246" w:lineRule="exact"/>
        <w:rPr>
          <w:sz w:val="20"/>
          <w:szCs w:val="20"/>
          <w:color w:val="auto"/>
        </w:rPr>
      </w:pPr>
    </w:p>
    <w:p>
      <w:pPr>
        <w:ind w:left="240" w:right="5360"/>
        <w:spacing w:after="0" w:line="344" w:lineRule="auto"/>
        <w:rPr>
          <w:sz w:val="20"/>
          <w:szCs w:val="20"/>
          <w:color w:val="auto"/>
        </w:rPr>
      </w:pPr>
      <w:r>
        <w:rPr>
          <w:rFonts w:ascii="Arial" w:cs="Arial" w:eastAsia="Arial" w:hAnsi="Arial"/>
          <w:sz w:val="18"/>
          <w:szCs w:val="18"/>
          <w:b w:val="1"/>
          <w:bCs w:val="1"/>
          <w:i w:val="1"/>
          <w:iCs w:val="1"/>
          <w:color w:val="auto"/>
        </w:rPr>
        <w:t xml:space="preserve">Year Ended December 31, 2012 Compared to the Year Ended December 31, 2011 </w:t>
      </w:r>
      <w:r>
        <w:rPr>
          <w:rFonts w:ascii="Arial" w:cs="Arial" w:eastAsia="Arial" w:hAnsi="Arial"/>
          <w:sz w:val="18"/>
          <w:szCs w:val="18"/>
          <w:i w:val="1"/>
          <w:iCs w:val="1"/>
          <w:color w:val="auto"/>
        </w:rPr>
        <w:t>Summary of Results</w:t>
      </w:r>
    </w:p>
    <w:p>
      <w:pPr>
        <w:spacing w:after="0" w:line="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Segment pre-tax adjusted operating income decreased $18.3 primarily driven by higher individual claims experience, a lower BOLI ROA due to higher BOLI claims and lower investment yields, and higher expenses related to our Grow &amp; Diversify initiatives.</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 addition to the drivers discussed above, we consider the following information regarding operating revenues and benefits and expenses useful in understanding our results.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Premiums decreased $3.2 due to lapses on our older term business and decreased term sales.</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Net investment income decreased $4.1 due primarily to lower yields on asset purchases over the past twelve months. This was partially offset by an increase in average invested assets, primarily related to higher BOLI and UL account values.</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Policy fees, contract charges, and other increased $5.5 due to higher COI and administrative fees on larger blocks of business for our BOLI and UL products.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Benefits and Expenses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Benefit-related expenses (policyholder benefits and claims, and interest credited) increased $8.8, which was primarily driven by higher individual claims as well as an increase in interest credited on higher BOLI account values, which offsets the increased BOLI COI revenue charges noted above. Individual life claims, which fluctuate from period to period, increased $6.7 million over 2011, though mortality was in line with expectations. These increases were partially offset by lower claims on our BOLI general account block of business and reserve modifications in 2011, which increased 2011 benefit-related expenses by $1.9.</w:t>
      </w:r>
    </w:p>
    <w:p>
      <w:pPr>
        <w:spacing w:after="0" w:line="1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Other underwriting and operating expenses increased $6.1 due to higher employee-related expenses, primarily associated with our Grow &amp; Diversify initiatives.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5380"/>
        <w:spacing w:after="0" w:line="344" w:lineRule="auto"/>
        <w:rPr>
          <w:sz w:val="20"/>
          <w:szCs w:val="20"/>
          <w:color w:val="auto"/>
        </w:rPr>
      </w:pPr>
      <w:r>
        <w:rPr>
          <w:rFonts w:ascii="Arial" w:cs="Arial" w:eastAsia="Arial" w:hAnsi="Arial"/>
          <w:sz w:val="18"/>
          <w:szCs w:val="18"/>
          <w:b w:val="1"/>
          <w:bCs w:val="1"/>
          <w:i w:val="1"/>
          <w:iCs w:val="1"/>
          <w:color w:val="auto"/>
        </w:rPr>
        <w:t xml:space="preserve">Year Ended December 31, 2011 Compared to the Year Ended December 31, 2010 </w:t>
      </w:r>
      <w:r>
        <w:rPr>
          <w:rFonts w:ascii="Arial" w:cs="Arial" w:eastAsia="Arial" w:hAnsi="Arial"/>
          <w:sz w:val="18"/>
          <w:szCs w:val="18"/>
          <w:i w:val="1"/>
          <w:iCs w:val="1"/>
          <w:color w:val="auto"/>
        </w:rPr>
        <w:t>Summary of Results</w:t>
      </w:r>
    </w:p>
    <w:p>
      <w:pPr>
        <w:spacing w:after="0" w:line="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Segment pre-tax adjusted operating income decreased $7.9 primarily due to a $7.4 reserve release in the first quarter of 2010 causing a reduction in benefits and expenses. In addition, year-over-year individual claims were higher and we recorded unfavorable reserve modifications in 2011. Also contributing to the decrease was an increase in other underwriting and operating expenses due primarily to expenses related to our Grow &amp; Diversify initiative and employee-related expenses. These items were partially offset by increased income on higher BOLI account values and investment prepayment related income.</w:t>
      </w:r>
    </w:p>
    <w:p>
      <w:pPr>
        <w:spacing w:after="0" w:line="11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 addition to the drivers discussed above, we consider the following information regarding operating revenues and benefits and expenses useful in understanding our results.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Revenues</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Net investment income increased $17.2 due to an increase in average invested assets, primarily related to higher BOLI account values which grew from strong persistency and sales in the fourth quarter of 2010, and $5.0 of investment prepayment related income received primarily in the fourth quarter of 2011, compared to $3.1 in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Benefits and Expenses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Benefits and expenses increased $30.5 partially due to a bonus reserve decrease in 2010, which reduced total benefits and expenses by $7.4, which included the impact on DAC amortization.</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Excluding the effects of the bonus reserve decrease, interest credited and policyholder benefits and claims increased $15.7. This was primarily due to an increase in BOLI account value, which also contributed to an increase in DAC amortization. Reserve modifications reduced policyholder benefits and claims by $2.1 and increased interest credited $4.0, for a net impact of $1.9. In addition, other underwriting and operating expenses increased $5.5 due primarily to employee-related expenses.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results of operations relating to our Other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7"/>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2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Variance (%)</w:t>
            </w:r>
          </w:p>
        </w:tc>
      </w:tr>
      <w:tr>
        <w:trPr>
          <w:trHeight w:val="142"/>
        </w:trPr>
        <w:tc>
          <w:tcPr>
            <w:tcW w:w="11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2012</w:t>
            </w: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2011</w:t>
            </w: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3"/>
              </w:rPr>
              <w:t>2010</w:t>
            </w:r>
          </w:p>
        </w:tc>
        <w:tc>
          <w:tcPr>
            <w:tcW w:w="580" w:type="dxa"/>
            <w:vAlign w:val="bottom"/>
          </w:tcPr>
          <w:p>
            <w:pPr>
              <w:spacing w:after="0"/>
              <w:rPr>
                <w:sz w:val="12"/>
                <w:szCs w:val="12"/>
                <w:color w:val="auto"/>
              </w:rPr>
            </w:pPr>
          </w:p>
        </w:tc>
        <w:tc>
          <w:tcPr>
            <w:tcW w:w="1500" w:type="dxa"/>
            <w:vAlign w:val="bottom"/>
            <w:tcBorders>
              <w:top w:val="single" w:sz="8" w:color="auto"/>
            </w:tcBorders>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260" w:type="dxa"/>
            <w:vAlign w:val="bottom"/>
          </w:tcPr>
          <w:p>
            <w:pPr>
              <w:spacing w:after="0"/>
              <w:rPr>
                <w:sz w:val="12"/>
                <w:szCs w:val="12"/>
                <w:color w:val="auto"/>
              </w:rPr>
            </w:pPr>
          </w:p>
        </w:tc>
      </w:tr>
      <w:tr>
        <w:trPr>
          <w:trHeight w:val="196"/>
        </w:trPr>
        <w:tc>
          <w:tcPr>
            <w:tcW w:w="5420" w:type="dxa"/>
            <w:vAlign w:val="bottom"/>
            <w:tcBorders>
              <w:top w:val="single" w:sz="8" w:color="CCEEFF"/>
            </w:tcBorders>
            <w:gridSpan w:val="2"/>
            <w:shd w:val="clear" w:color="auto" w:fill="CCEEFF"/>
          </w:tcPr>
          <w:p>
            <w:pPr>
              <w:ind w:left="440"/>
              <w:spacing w:after="0" w:line="196" w:lineRule="exact"/>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5420" w:type="dxa"/>
            <w:vAlign w:val="bottom"/>
            <w:gridSpan w:val="2"/>
          </w:tcPr>
          <w:p>
            <w:pPr>
              <w:ind w:left="88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23.6</w:t>
            </w:r>
          </w:p>
        </w:tc>
        <w:tc>
          <w:tcPr>
            <w:tcW w:w="60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23.8</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(49.2)%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r>
      <w:tr>
        <w:trPr>
          <w:trHeight w:val="216"/>
        </w:trPr>
        <w:tc>
          <w:tcPr>
            <w:tcW w:w="5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Policy fees, contract charges, and other</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w:t>
            </w:r>
          </w:p>
        </w:tc>
      </w:tr>
      <w:tr>
        <w:trPr>
          <w:trHeight w:val="222"/>
        </w:trPr>
        <w:tc>
          <w:tcPr>
            <w:tcW w:w="5420" w:type="dxa"/>
            <w:vAlign w:val="bottom"/>
            <w:gridSpan w:val="2"/>
          </w:tcPr>
          <w:p>
            <w:pPr>
              <w:ind w:left="440"/>
              <w:spacing w:after="0"/>
              <w:rPr>
                <w:sz w:val="20"/>
                <w:szCs w:val="20"/>
                <w:color w:val="auto"/>
              </w:rPr>
            </w:pPr>
            <w:r>
              <w:rPr>
                <w:rFonts w:ascii="Arial" w:cs="Arial" w:eastAsia="Arial" w:hAnsi="Arial"/>
                <w:sz w:val="18"/>
                <w:szCs w:val="18"/>
                <w:color w:val="auto"/>
              </w:rPr>
              <w:t>Total operating revenues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44.0</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40.0</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(23.4)</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r>
      <w:tr>
        <w:trPr>
          <w:trHeight w:val="217"/>
        </w:trPr>
        <w:tc>
          <w:tcPr>
            <w:tcW w:w="5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Benefits and expenses: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420" w:type="dxa"/>
            <w:vAlign w:val="bottom"/>
            <w:gridSpan w:val="2"/>
          </w:tcPr>
          <w:p>
            <w:pPr>
              <w:ind w:left="880"/>
              <w:spacing w:after="0"/>
              <w:rPr>
                <w:sz w:val="20"/>
                <w:szCs w:val="20"/>
                <w:color w:val="auto"/>
              </w:rPr>
            </w:pPr>
            <w:r>
              <w:rPr>
                <w:rFonts w:ascii="Arial" w:cs="Arial" w:eastAsia="Arial" w:hAnsi="Arial"/>
                <w:sz w:val="18"/>
                <w:szCs w:val="18"/>
                <w:color w:val="auto"/>
              </w:rPr>
              <w:t>Interest credited</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(3.1)</w:t>
            </w:r>
          </w:p>
        </w:tc>
        <w:tc>
          <w:tcPr>
            <w:tcW w:w="760" w:type="dxa"/>
            <w:vAlign w:val="bottom"/>
          </w:tcPr>
          <w:p>
            <w:pPr>
              <w:jc w:val="right"/>
              <w:spacing w:after="0"/>
              <w:rPr>
                <w:sz w:val="20"/>
                <w:szCs w:val="20"/>
                <w:color w:val="auto"/>
              </w:rPr>
            </w:pPr>
            <w:r>
              <w:rPr>
                <w:rFonts w:ascii="Arial" w:cs="Arial" w:eastAsia="Arial" w:hAnsi="Arial"/>
                <w:sz w:val="18"/>
                <w:szCs w:val="18"/>
                <w:color w:val="auto"/>
              </w:rPr>
              <w:t>19.2</w:t>
            </w:r>
          </w:p>
        </w:tc>
        <w:tc>
          <w:tcPr>
            <w:tcW w:w="7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16.1</w:t>
            </w:r>
          </w:p>
        </w:tc>
      </w:tr>
      <w:tr>
        <w:trPr>
          <w:trHeight w:val="216"/>
        </w:trPr>
        <w:tc>
          <w:tcPr>
            <w:tcW w:w="5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 underwriting and operating expenses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r>
      <w:tr>
        <w:trPr>
          <w:trHeight w:val="223"/>
        </w:trPr>
        <w:tc>
          <w:tcPr>
            <w:tcW w:w="5420" w:type="dxa"/>
            <w:vAlign w:val="bottom"/>
            <w:gridSpan w:val="2"/>
          </w:tcPr>
          <w:p>
            <w:pPr>
              <w:ind w:left="88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5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7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r>
      <w:tr>
        <w:trPr>
          <w:trHeight w:val="216"/>
        </w:trPr>
        <w:tc>
          <w:tcPr>
            <w:tcW w:w="5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benefits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r>
      <w:tr>
        <w:trPr>
          <w:trHeight w:val="222"/>
        </w:trPr>
        <w:tc>
          <w:tcPr>
            <w:tcW w:w="5420" w:type="dxa"/>
            <w:vAlign w:val="bottom"/>
            <w:gridSpan w:val="2"/>
          </w:tcPr>
          <w:p>
            <w:pPr>
              <w:spacing w:after="0"/>
              <w:rPr>
                <w:sz w:val="20"/>
                <w:szCs w:val="20"/>
                <w:color w:val="auto"/>
              </w:rPr>
            </w:pPr>
            <w:r>
              <w:rPr>
                <w:rFonts w:ascii="Arial" w:cs="Arial" w:eastAsia="Arial" w:hAnsi="Arial"/>
                <w:sz w:val="18"/>
                <w:szCs w:val="18"/>
                <w:color w:val="auto"/>
              </w:rPr>
              <w:t>Segment pre-tax adjusted operating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(26.1)</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(10.7)</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(11.4)</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r>
      <w:tr>
        <w:trPr>
          <w:trHeight w:val="20"/>
        </w:trPr>
        <w:tc>
          <w:tcPr>
            <w:tcW w:w="1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19" w:lineRule="exact"/>
        <w:rPr>
          <w:sz w:val="20"/>
          <w:szCs w:val="20"/>
          <w:color w:val="auto"/>
        </w:rPr>
      </w:pPr>
    </w:p>
    <w:p>
      <w:pPr>
        <w:ind w:left="5620" w:right="3100" w:hanging="5612"/>
        <w:spacing w:after="0" w:line="440" w:lineRule="auto"/>
        <w:tabs>
          <w:tab w:leader="none" w:pos="218"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percentage variances that are not meaningful or are explained through the discussion of other variances. 82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5380"/>
        <w:spacing w:after="0" w:line="344" w:lineRule="auto"/>
        <w:rPr>
          <w:sz w:val="20"/>
          <w:szCs w:val="20"/>
          <w:color w:val="auto"/>
        </w:rPr>
      </w:pPr>
      <w:r>
        <w:rPr>
          <w:rFonts w:ascii="Arial" w:cs="Arial" w:eastAsia="Arial" w:hAnsi="Arial"/>
          <w:sz w:val="18"/>
          <w:szCs w:val="18"/>
          <w:b w:val="1"/>
          <w:bCs w:val="1"/>
          <w:i w:val="1"/>
          <w:iCs w:val="1"/>
          <w:color w:val="auto"/>
        </w:rPr>
        <w:t xml:space="preserve">Year Ended December 31, 2012 Compared to the Year Ended December 31, 2011 </w:t>
      </w:r>
      <w:r>
        <w:rPr>
          <w:rFonts w:ascii="Arial" w:cs="Arial" w:eastAsia="Arial" w:hAnsi="Arial"/>
          <w:sz w:val="18"/>
          <w:szCs w:val="18"/>
          <w:i w:val="1"/>
          <w:iCs w:val="1"/>
          <w:color w:val="auto"/>
        </w:rPr>
        <w:t>Summary of Results</w:t>
      </w:r>
    </w:p>
    <w:p>
      <w:pPr>
        <w:spacing w:after="0" w:line="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Other segment reported pre-tax adjusted operating losses of $26.1 for the year ended December 31, 2012 compared with losses of $10.7 for 2011. This decline in results was due to lower net investment income, mainly related to tax credit and private equity fund investments, and higher operating expenses primarily related to our exploration of acquisition opportunities that did not come to fruition.</w:t>
      </w:r>
    </w:p>
    <w:p>
      <w:pPr>
        <w:spacing w:after="0" w:line="14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Amortization of tax credit investments, which is recorded as a reduction to net investment income, increased $7.4 over 2011 due to higher levels of</w:t>
      </w:r>
    </w:p>
    <w:p>
      <w:pPr>
        <w:spacing w:after="0" w:line="38"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investments in these assets. Tax credit investments reduce investment income, but provide tax benefits that help decrease our effective tax rate. See “Investments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Investments in Limited Partnerships — Tax Credit Investments”</w:t>
      </w:r>
      <w:r>
        <w:rPr>
          <w:rFonts w:ascii="Arial" w:cs="Arial" w:eastAsia="Arial" w:hAnsi="Arial"/>
          <w:sz w:val="18"/>
          <w:szCs w:val="18"/>
          <w:color w:val="auto"/>
        </w:rPr>
        <w:t xml:space="preserve"> for further information.</w:t>
      </w:r>
    </w:p>
    <w:p>
      <w:pPr>
        <w:spacing w:after="0" w:line="246" w:lineRule="exact"/>
        <w:rPr>
          <w:sz w:val="20"/>
          <w:szCs w:val="20"/>
          <w:color w:val="auto"/>
        </w:rPr>
      </w:pPr>
    </w:p>
    <w:p>
      <w:pPr>
        <w:ind w:left="240" w:right="5380"/>
        <w:spacing w:after="0" w:line="344" w:lineRule="auto"/>
        <w:rPr>
          <w:sz w:val="20"/>
          <w:szCs w:val="20"/>
          <w:color w:val="auto"/>
        </w:rPr>
      </w:pPr>
      <w:r>
        <w:rPr>
          <w:rFonts w:ascii="Arial" w:cs="Arial" w:eastAsia="Arial" w:hAnsi="Arial"/>
          <w:sz w:val="18"/>
          <w:szCs w:val="18"/>
          <w:b w:val="1"/>
          <w:bCs w:val="1"/>
          <w:i w:val="1"/>
          <w:iCs w:val="1"/>
          <w:color w:val="auto"/>
        </w:rPr>
        <w:t xml:space="preserve">Year Ended December 31, 2011 Compared to the Year Ended December 31, 2010 </w:t>
      </w:r>
      <w:r>
        <w:rPr>
          <w:rFonts w:ascii="Arial" w:cs="Arial" w:eastAsia="Arial" w:hAnsi="Arial"/>
          <w:sz w:val="18"/>
          <w:szCs w:val="18"/>
          <w:i w:val="1"/>
          <w:iCs w:val="1"/>
          <w:color w:val="auto"/>
        </w:rPr>
        <w:t>Summary of Results</w:t>
      </w:r>
    </w:p>
    <w:p>
      <w:pPr>
        <w:spacing w:after="0" w:line="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Other segment’s pre-tax adjusted operating loss of $10.7 for the year ended December 31, 2011 improved $0.7 from a loss of $11.4 for 2011. Policy fees, contract charges, and other increased $4.2 due to higher broker-dealer concession revenue and advisory fees, which were partially offset by a $3.2 increase in related commissions.</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investment portfolio is structured with the objective of supporting the expected cash flows of our liabilities and producing stable returns over the long term. The composition of our portfolio reflects our asset management philosophy of protecting principal and receiving appropriate reward for risk. Our investment portfolio mix as of December 31, 2012 consisted in large part of high quality fixed maturities and commercial mortgage loans we originated, as well as a smaller allocation of high yield fixed maturities, marketable equity securities, investments in limited partnerships (primarily tax credit investments and private equity funds) and other investments. Our portfolio of our equity and equity-like investments, is marked-to-market and mainly supports investment strategies including asset and liability matching strategies for certain long-duration insurance products. These equity and equity-like investments include common stock, REITs, and convertible bonds. We believe that prudent levels of equity and equity-like investments offer enhanced long term, after-tax total returns.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composition of our investment portfolio: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95"/>
              </w:rPr>
              <w:t>As of December 31, 2012</w:t>
            </w:r>
          </w:p>
        </w:tc>
        <w:tc>
          <w:tcPr>
            <w:tcW w:w="20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5"/>
              </w:rPr>
              <w:t>As of December 31,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20" w:type="dxa"/>
            <w:vAlign w:val="bottom"/>
            <w:tcBorders>
              <w:top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 of Total</w:t>
            </w:r>
          </w:p>
        </w:tc>
        <w:tc>
          <w:tcPr>
            <w:tcW w:w="600" w:type="dxa"/>
            <w:vAlign w:val="bottom"/>
          </w:tcPr>
          <w:p>
            <w:pPr>
              <w:spacing w:after="0"/>
              <w:rPr>
                <w:sz w:val="12"/>
                <w:szCs w:val="12"/>
                <w:color w:val="auto"/>
              </w:rPr>
            </w:pPr>
          </w:p>
        </w:tc>
        <w:tc>
          <w:tcPr>
            <w:tcW w:w="118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Types of Investments</w:t>
            </w:r>
          </w:p>
        </w:tc>
        <w:tc>
          <w:tcPr>
            <w:tcW w:w="2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Fixed maturities, available-for-sale:</w:t>
            </w:r>
          </w:p>
        </w:tc>
        <w:tc>
          <w:tcPr>
            <w:tcW w:w="2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Public</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$22,699.4</w:t>
            </w:r>
          </w:p>
        </w:tc>
        <w:tc>
          <w:tcPr>
            <w:tcW w:w="16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82.4%</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$21,968.8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60"/>
              <w:spacing w:after="0"/>
              <w:rPr>
                <w:sz w:val="20"/>
                <w:szCs w:val="20"/>
                <w:color w:val="auto"/>
              </w:rPr>
            </w:pPr>
            <w:r>
              <w:rPr>
                <w:rFonts w:ascii="Arial" w:cs="Arial" w:eastAsia="Arial" w:hAnsi="Arial"/>
                <w:sz w:val="18"/>
                <w:szCs w:val="18"/>
                <w:color w:val="auto"/>
              </w:rPr>
              <w:t>Private</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819.6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936.4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Marketable equity securities, available-for-sale (1)</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Marketable equity securities, trading (2)</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552.7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381.7</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 loans, net</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3,094.4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2,517.6</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Policy loans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65.8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69.0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limited partnerships (3):</w:t>
            </w:r>
          </w:p>
        </w:tc>
        <w:tc>
          <w:tcPr>
            <w:tcW w:w="2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60"/>
              <w:spacing w:after="0"/>
              <w:rPr>
                <w:sz w:val="20"/>
                <w:szCs w:val="20"/>
                <w:color w:val="auto"/>
              </w:rPr>
            </w:pPr>
            <w:r>
              <w:rPr>
                <w:rFonts w:ascii="Arial" w:cs="Arial" w:eastAsia="Arial" w:hAnsi="Arial"/>
                <w:sz w:val="18"/>
                <w:szCs w:val="18"/>
                <w:color w:val="auto"/>
              </w:rPr>
              <w:t>Private equity funds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27.8</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Tax credit investments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199.1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Other invested assets</w:t>
            </w:r>
          </w:p>
        </w:tc>
        <w:tc>
          <w:tcPr>
            <w:tcW w:w="2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4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4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27,556.4</w:t>
            </w:r>
          </w:p>
        </w:tc>
        <w:tc>
          <w:tcPr>
            <w:tcW w:w="16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26,171.7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20" w:type="dxa"/>
            <w:vAlign w:val="bottom"/>
            <w:vMerge w:val="restart"/>
          </w:tcPr>
          <w:p>
            <w:pPr>
              <w:jc w:val="right"/>
              <w:ind w:right="1132"/>
              <w:spacing w:after="0"/>
              <w:rPr>
                <w:sz w:val="20"/>
                <w:szCs w:val="20"/>
                <w:color w:val="auto"/>
              </w:rPr>
            </w:pPr>
            <w:r>
              <w:rPr>
                <w:rFonts w:ascii="Arial" w:cs="Arial" w:eastAsia="Arial" w:hAnsi="Arial"/>
                <w:sz w:val="18"/>
                <w:szCs w:val="18"/>
                <w:color w:val="auto"/>
              </w:rPr>
              <w:t>83</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Primarily includes nonredeemable preferred stock.</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investments in common stock, REITs, and mutual funds.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Investments in private equity funds are carried at fair value, and our tax credit investments are carried at amortized cost.</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increase in invested assets during the year ended December 31, 2012 is primarily due to a net increase in the fair value of our fixed maturities and portfolio growth generated by sales of fixed annuities. As of December 31, 2012, net unrealized gains on our fixed maturities increased to $2.4 billion, compared with $1.8 billion as of December 31, 2011. This was driven by a rise in market prices on previously purchased fixed maturities due to tighter credit spreads and the current lower yield environment. Our investments in commercial mortgage loans increased to $3.1 billion as of December 31, 2012, up from $2.5 billion as of December 31, 2011, as we sought investments providing relatively higher yields compared to new purchases of fixed maturities.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Returns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Investment Income</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Return on invested assets is an important element of our financial results. The following table sets forth the income yield and net investment income, excluding realized investment gains (losses) for each major investment category: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86"/>
              </w:rPr>
              <w:t>For the Years Ended December 31,</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00" w:type="dxa"/>
            <w:vAlign w:val="bottom"/>
            <w:tcBorders>
              <w:bottom w:val="single" w:sz="8" w:color="auto"/>
            </w:tcBorders>
            <w:gridSpan w:val="4"/>
          </w:tcPr>
          <w:p>
            <w:pPr>
              <w:jc w:val="right"/>
              <w:ind w:right="542"/>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6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6"/>
              </w:rPr>
              <w:t>Yield(1)</w:t>
            </w:r>
          </w:p>
        </w:tc>
        <w:tc>
          <w:tcPr>
            <w:tcW w:w="140" w:type="dxa"/>
            <w:vAlign w:val="bottom"/>
          </w:tcPr>
          <w:p>
            <w:pPr>
              <w:spacing w:after="0"/>
              <w:rPr>
                <w:sz w:val="12"/>
                <w:szCs w:val="12"/>
                <w:color w:val="auto"/>
              </w:rPr>
            </w:pPr>
          </w:p>
        </w:tc>
        <w:tc>
          <w:tcPr>
            <w:tcW w:w="62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6"/>
              </w:rPr>
              <w:t>Yield(1)</w:t>
            </w:r>
          </w:p>
        </w:tc>
        <w:tc>
          <w:tcPr>
            <w:tcW w:w="280" w:type="dxa"/>
            <w:vAlign w:val="bottom"/>
          </w:tcPr>
          <w:p>
            <w:pPr>
              <w:spacing w:after="0"/>
              <w:rPr>
                <w:sz w:val="12"/>
                <w:szCs w:val="12"/>
                <w:color w:val="auto"/>
              </w:rPr>
            </w:pPr>
          </w:p>
        </w:tc>
        <w:tc>
          <w:tcPr>
            <w:tcW w:w="62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w w:val="98"/>
              </w:rPr>
              <w:t>Amount</w:t>
            </w:r>
          </w:p>
        </w:tc>
        <w:tc>
          <w:tcPr>
            <w:tcW w:w="320" w:type="dxa"/>
            <w:vAlign w:val="bottom"/>
          </w:tcPr>
          <w:p>
            <w:pPr>
              <w:spacing w:after="0"/>
              <w:rPr>
                <w:sz w:val="12"/>
                <w:szCs w:val="12"/>
                <w:color w:val="auto"/>
              </w:rPr>
            </w:pPr>
          </w:p>
        </w:tc>
        <w:tc>
          <w:tcPr>
            <w:tcW w:w="62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6"/>
              </w:rPr>
              <w:t>Yield(1)</w:t>
            </w:r>
          </w:p>
        </w:tc>
        <w:tc>
          <w:tcPr>
            <w:tcW w:w="280" w:type="dxa"/>
            <w:vAlign w:val="bottom"/>
          </w:tcPr>
          <w:p>
            <w:pPr>
              <w:spacing w:after="0"/>
              <w:rPr>
                <w:sz w:val="12"/>
                <w:szCs w:val="12"/>
                <w:color w:val="auto"/>
              </w:rPr>
            </w:pPr>
          </w:p>
        </w:tc>
        <w:tc>
          <w:tcPr>
            <w:tcW w:w="62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Types of Investments</w:t>
            </w: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420"/>
              <w:spacing w:after="0"/>
              <w:rPr>
                <w:sz w:val="20"/>
                <w:szCs w:val="20"/>
                <w:color w:val="auto"/>
              </w:rPr>
            </w:pPr>
            <w:r>
              <w:rPr>
                <w:rFonts w:ascii="Arial" w:cs="Arial" w:eastAsia="Arial" w:hAnsi="Arial"/>
                <w:sz w:val="18"/>
                <w:szCs w:val="18"/>
                <w:color w:val="auto"/>
              </w:rPr>
              <w:t>Fixed maturities, available-for-sale</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5.31%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$1,122.5</w:t>
            </w:r>
          </w:p>
        </w:tc>
        <w:tc>
          <w:tcPr>
            <w:tcW w:w="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5.51%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$1,151.9</w:t>
            </w:r>
          </w:p>
        </w:tc>
        <w:tc>
          <w:tcPr>
            <w:tcW w:w="3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5.72%</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Marketable equity securities, available-for-sale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860"/>
              <w:spacing w:after="0"/>
              <w:rPr>
                <w:sz w:val="20"/>
                <w:szCs w:val="20"/>
                <w:color w:val="auto"/>
              </w:rPr>
            </w:pPr>
            <w:r>
              <w:rPr>
                <w:rFonts w:ascii="Arial" w:cs="Arial" w:eastAsia="Arial" w:hAnsi="Arial"/>
                <w:sz w:val="18"/>
                <w:szCs w:val="18"/>
                <w:color w:val="auto"/>
              </w:rPr>
              <w:t>Marketable equity securities, trading</w:t>
            </w:r>
          </w:p>
        </w:tc>
        <w:tc>
          <w:tcPr>
            <w:tcW w:w="480" w:type="dxa"/>
            <w:vAlign w:val="bottom"/>
          </w:tcPr>
          <w:p>
            <w:pPr>
              <w:jc w:val="right"/>
              <w:spacing w:after="0"/>
              <w:rPr>
                <w:sz w:val="20"/>
                <w:szCs w:val="20"/>
                <w:color w:val="auto"/>
              </w:rPr>
            </w:pPr>
            <w:r>
              <w:rPr>
                <w:rFonts w:ascii="Arial" w:cs="Arial" w:eastAsia="Arial" w:hAnsi="Arial"/>
                <w:sz w:val="18"/>
                <w:szCs w:val="18"/>
                <w:color w:val="auto"/>
              </w:rPr>
              <w:t>2.96</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2.57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Mortgage loans, net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420"/>
              <w:spacing w:after="0"/>
              <w:rPr>
                <w:sz w:val="20"/>
                <w:szCs w:val="20"/>
                <w:color w:val="auto"/>
              </w:rPr>
            </w:pPr>
            <w:r>
              <w:rPr>
                <w:rFonts w:ascii="Arial" w:cs="Arial" w:eastAsia="Arial" w:hAnsi="Arial"/>
                <w:sz w:val="18"/>
                <w:szCs w:val="18"/>
                <w:color w:val="auto"/>
              </w:rPr>
              <w:t>Policy loans</w:t>
            </w:r>
          </w:p>
        </w:tc>
        <w:tc>
          <w:tcPr>
            <w:tcW w:w="480" w:type="dxa"/>
            <w:vAlign w:val="bottom"/>
          </w:tcPr>
          <w:p>
            <w:pPr>
              <w:jc w:val="right"/>
              <w:spacing w:after="0"/>
              <w:rPr>
                <w:sz w:val="20"/>
                <w:szCs w:val="20"/>
                <w:color w:val="auto"/>
              </w:rPr>
            </w:pPr>
            <w:r>
              <w:rPr>
                <w:rFonts w:ascii="Arial" w:cs="Arial" w:eastAsia="Arial" w:hAnsi="Arial"/>
                <w:sz w:val="18"/>
                <w:szCs w:val="18"/>
                <w:color w:val="auto"/>
              </w:rPr>
              <w:t>5.68</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4.86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limited partnerships: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420"/>
              <w:spacing w:after="0"/>
              <w:rPr>
                <w:sz w:val="20"/>
                <w:szCs w:val="20"/>
                <w:color w:val="auto"/>
              </w:rPr>
            </w:pPr>
            <w:r>
              <w:rPr>
                <w:rFonts w:ascii="Arial" w:cs="Arial" w:eastAsia="Arial" w:hAnsi="Arial"/>
                <w:sz w:val="18"/>
                <w:szCs w:val="18"/>
                <w:color w:val="auto"/>
              </w:rPr>
              <w:t>Private equity and hedge funds</w:t>
            </w:r>
          </w:p>
        </w:tc>
        <w:tc>
          <w:tcPr>
            <w:tcW w:w="480" w:type="dxa"/>
            <w:vAlign w:val="bottom"/>
          </w:tcPr>
          <w:p>
            <w:pPr>
              <w:jc w:val="right"/>
              <w:spacing w:after="0"/>
              <w:rPr>
                <w:sz w:val="20"/>
                <w:szCs w:val="20"/>
                <w:color w:val="auto"/>
              </w:rPr>
            </w:pPr>
            <w:r>
              <w:rPr>
                <w:rFonts w:ascii="Arial" w:cs="Arial" w:eastAsia="Arial" w:hAnsi="Arial"/>
                <w:sz w:val="18"/>
                <w:szCs w:val="18"/>
                <w:color w:val="auto"/>
              </w:rPr>
              <w:t>9.42</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15.21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15.64</w:t>
            </w:r>
          </w:p>
        </w:tc>
        <w:tc>
          <w:tcPr>
            <w:tcW w:w="14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Tax credit investment (2)*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gridSpan w:val="2"/>
          </w:tcPr>
          <w:p>
            <w:pPr>
              <w:ind w:left="860"/>
              <w:spacing w:after="0"/>
              <w:rPr>
                <w:sz w:val="20"/>
                <w:szCs w:val="20"/>
                <w:color w:val="auto"/>
              </w:rPr>
            </w:pPr>
            <w:r>
              <w:rPr>
                <w:rFonts w:ascii="Arial" w:cs="Arial" w:eastAsia="Arial" w:hAnsi="Arial"/>
                <w:sz w:val="18"/>
                <w:szCs w:val="18"/>
                <w:color w:val="auto"/>
              </w:rPr>
              <w:t>Other income producing assets (3)</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investment income before investment expenses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1,303.2</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1,296.3</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420"/>
              <w:spacing w:after="0"/>
              <w:rPr>
                <w:sz w:val="20"/>
                <w:szCs w:val="20"/>
                <w:color w:val="auto"/>
              </w:rPr>
            </w:pPr>
            <w:r>
              <w:rPr>
                <w:rFonts w:ascii="Arial" w:cs="Arial" w:eastAsia="Arial" w:hAnsi="Arial"/>
                <w:sz w:val="18"/>
                <w:szCs w:val="18"/>
                <w:color w:val="auto"/>
              </w:rPr>
              <w:t>Investment expenses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(0.11)</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(28.0)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(0.11)</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(25.4)</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(0.10)</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9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1,275.2</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1,270.9</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yield that is not meaningful.</w:t>
      </w:r>
    </w:p>
    <w:p>
      <w:pPr>
        <w:spacing w:after="0" w:line="15" w:lineRule="exact"/>
        <w:rPr>
          <w:sz w:val="20"/>
          <w:szCs w:val="20"/>
          <w:color w:val="auto"/>
        </w:rPr>
      </w:pPr>
    </w:p>
    <w:p>
      <w:pPr>
        <w:ind w:left="460" w:right="280" w:hanging="452"/>
        <w:spacing w:after="0" w:line="250"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Yields are determined based on monthly averages calculated using beginning and end-of-period balances. Yields for fixed maturities are based on amortized cost. Yields for equity securities, including investments in limited partnerships, are based on cost. Yields for all other asset types are based on carrying values.</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negative impact from the tax credit investments is offset by U.S. federal income tax benefits. The total impact to net income was $17.0, $6.2 and $4.6 for the years ended December 31, 2012, 2011 and 2010, respectively. For further discussion, see — “Investments in Limited Partnerships — Tax Credit Investments.”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income producing assets includes other invested assets, short-term investments and cash and cash equivalents.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2012 Compared to the Year Ended December 31, 2011</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For the year ended December 31, 2012, net investment income increased 0.3% compared to 2011, driven by an increase in invested assets on sales of our fixed annuities. The income increase driven by growth in invested assets was partially offset by a decrease in the total net investment yield, which decreased to 5.08% in 2012 from 5.30% in 2011. This reduction reflects the prolonged low interest rate environment. Yields on fixed maturity purchases in the year ended December 31, 2012 were approximately 275bps lower than the average yield on existing fixed maturity investments. Yields on fixed maturity purchases in the year ended December 31, 2011 were approximately 198bps lower than the average yield on existing investments in 2011.</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an attempt to mitigate the effects of the low interest rate environment, we continued to increase our underwriting of commercial mortgage loans. We focus on originating loans at a consistent spread to comparable U.S. Treasuries. For the year ended December 31, 2012, we originated loans at a spread over U.S. Treasuries of approximately 345bps, compared with an approximate 325bps spread over U.S. Treasuries for 2011. While our spread has increased, U.S. Treasury rates have declined substantially to historically low levels. Lower rates, in combination with the origination of $1.8 billion in mortgage loans over the past two years, has led to a decline in our overall mortgage loan yields.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also continue to experience prepayment activity and related prepayment income as a result of the low interest rate environment. Prepayment-related income includes make-whole premiums and consent fees on early calls or tenders of fixed maturities, prepayment speed adjustments on structured securities, and prepayment fees on our commercial mortgage loans. This income generated approximately 10bps of yield in both 2012 and 2011. Prepayment activity usually stems from higher-yielding investments, resulting in cash inflows which are then typically reinvested into lower-yielding new assets, placing downward pressure on our investment income and yields.</w:t>
      </w:r>
    </w:p>
    <w:p>
      <w:pPr>
        <w:spacing w:after="0" w:line="143"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In June 2012, U.S. banking regulators announced that, beginning in 2013, trust preferred securities (TruPS) issued by banks would be phased out as allowable Tier 1 Capital. Many TruPS have features that allow the issuer to call the security at par upon a regulatory event such as this. For the year ended December 31, 2012, $92.7 of these callable securities, on an amortized cost basis, have been redeemed. We have remaining holdings of $151.8, and we may experience additional calls of these securities as the new rules take effect. Generally, we do not expect to receive prepayment related income on these redemptions.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2011 Compared to the Year Ended December 31, 2010</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the year ended December 31, 2011 net investment income increased 6.0% compared to 2010, driven by higher invested assets on strong sales of our fixed annuities in 2010 and 2011. The income increase driven by growth in invested assets was partially offset by a decrease in the total net investment yields, which decreased to 5.30% in 2011 from 5.49% in 2010 due to the prolonged low interest rate environment. Our yields would have been lower without the impact of prepayment-related income, which generated 10bps of yield in 2011 compared to 6bps in 2010.</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40"/>
          </w:cols>
          <w:pgMar w:left="240" w:top="459" w:right="3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Realized Investment Gains (Losses)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detail of our net realized investment gains (losses) before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1"/>
              </w:rPr>
              <w:t>For the Years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(As adjusted)</w:t>
            </w:r>
          </w:p>
        </w:tc>
        <w:tc>
          <w:tcPr>
            <w:tcW w:w="72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realized gains on sales of fixed maturities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38.9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322"/>
        </w:trPr>
        <w:tc>
          <w:tcPr>
            <w:tcW w:w="92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Gross realized losses on sales of fixed maturities</w:t>
            </w:r>
          </w:p>
        </w:tc>
        <w:tc>
          <w:tcPr>
            <w:tcW w:w="10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(27.0)</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10"/>
        </w:trPr>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80" w:type="dxa"/>
            <w:vAlign w:val="bottom"/>
          </w:tcPr>
          <w:p>
            <w:pPr>
              <w:ind w:left="640"/>
              <w:spacing w:after="0"/>
              <w:rPr>
                <w:sz w:val="20"/>
                <w:szCs w:val="20"/>
                <w:color w:val="auto"/>
              </w:rPr>
            </w:pPr>
            <w:r>
              <w:rPr>
                <w:rFonts w:ascii="Arial" w:cs="Arial" w:eastAsia="Arial" w:hAnsi="Arial"/>
                <w:sz w:val="18"/>
                <w:szCs w:val="18"/>
                <w:color w:val="auto"/>
              </w:rPr>
              <w:t>Public fixed maturities(1)</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Private fixed maturities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80" w:type="dxa"/>
            <w:vAlign w:val="bottom"/>
            <w:vMerge w:val="restart"/>
          </w:tcPr>
          <w:p>
            <w:pPr>
              <w:ind w:left="200"/>
              <w:spacing w:after="0"/>
              <w:rPr>
                <w:sz w:val="20"/>
                <w:szCs w:val="20"/>
                <w:color w:val="auto"/>
              </w:rPr>
            </w:pPr>
            <w:r>
              <w:rPr>
                <w:rFonts w:ascii="Arial" w:cs="Arial" w:eastAsia="Arial" w:hAnsi="Arial"/>
                <w:sz w:val="18"/>
                <w:szCs w:val="18"/>
                <w:color w:val="auto"/>
              </w:rPr>
              <w:t>Total credit-related</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(12.1)</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Intent to sell</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(16.9)</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Total impairments</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 w:type="dxa"/>
            <w:vAlign w:val="bottom"/>
          </w:tcPr>
          <w:p>
            <w:pPr>
              <w:spacing w:after="0"/>
              <w:rPr>
                <w:sz w:val="19"/>
                <w:szCs w:val="19"/>
                <w:color w:val="auto"/>
              </w:rPr>
            </w:pPr>
          </w:p>
        </w:tc>
        <w:tc>
          <w:tcPr>
            <w:tcW w:w="6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(29.0)</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10"/>
        </w:trPr>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gains (losses) on marketable equity securities, trading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323"/>
        </w:trPr>
        <w:tc>
          <w:tcPr>
            <w:tcW w:w="92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Other net investment gains (losses)(2):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gross gains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Other gross losses</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investment gains (losses) before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Public fixed maturities include publicly traded securities and highly marketable private placements for which there is an actively traded market.</w:t>
      </w:r>
    </w:p>
    <w:p>
      <w:pPr>
        <w:spacing w:after="0" w:line="38" w:lineRule="exact"/>
        <w:rPr>
          <w:rFonts w:ascii="Arial" w:cs="Arial" w:eastAsia="Arial" w:hAnsi="Arial"/>
          <w:sz w:val="16"/>
          <w:szCs w:val="16"/>
          <w:color w:val="auto"/>
        </w:rPr>
      </w:pPr>
    </w:p>
    <w:p>
      <w:pPr>
        <w:ind w:left="460" w:right="680" w:hanging="452"/>
        <w:spacing w:after="0" w:line="261"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primarily consists of changes in fair value on derivatives instruments, gains (losses) on calls and redemptions, and the impact of net realized investment gains (losses) on DAC and DSI.</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2012 Compared to the Year Ended December 31, 2011</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For the year ended December 31, 2012, our portfolio produced net realized gains of $31.1, as compared to $7.2 for the same period in 2011, primarily due to mark-to-market gains on our equity investments. Our equity investments had gains of $36.7 in 2012, compared to losses of $9.1 in 2011. The improvement in our equity investments was partially offset by a $14.9 increase in impairments on fixed maturities.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Impairments for the years ended December 31, 2012 and 2011 were $29.0 and $14.1, respectively. The increase in impairments was driven by $12.4 in write-downs of two underwater securities in 2012 that we intend to sell. Credit-related impairments also increased over 2011, driven by a $6.9 impairment of one holding in the utilities sector in 2012. For those issuers for which we recorded a credit-related impairment during 2012, we had remaining holdings with an amortized cost of $86.9 and a fair value of $85.7 as of December 31, 2012. We believe the amortized cost of these securities is recoverable, based on our estimated recovery values.</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Additionally, gross gains on sales increased $15.4, due to more favorable market conditions for sales, offset by an $18.9 increase in gross losses on sales due to sales of selected securities when credit concerns developed.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2011 Compared to the Year Ended December 31, 2010</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the year ended December 31, 2011, our portfolio produced net realized gains of $7.2, compared to gains of $40.1 for the same period in 2010. We experienced a $41.7 mark-to-market decline in the performance of our equity investments, which generated losses of $9.1 in 2011 compared to gains of $32.6 in 2010, which was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40"/>
          </w:cols>
          <w:pgMar w:left="240" w:top="459" w:right="3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partially offset by a $6.8 improvement in impairments. The decline in impairments from 2011 to 2010 was primarily attributable to improved economic conditions and reduced credit concerns, as credit-related impairments decreased $9.8.</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Fixed Maturity Securities</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Fixed maturities represented approximately 85% and 88% of invested assets as of December 31, 2012 and 2011, respectively. The majority of our fixed maturities are invested in highly marketable or publicly traded securities. We also invest in privately placed fixed maturities to enhance the overall value of the portfolio and obtain higher yields than can ordinarily be obtained with comparable public market securities. As of December 31, 2012, privately placed fixed maturities represented 3.5% of our total fixed maturity portfolio at fair value.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Fixed Maturity Securities Credit Quality</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Securities Valuation Office, or SVO, of the NAIC, evaluates the investments of insurers for regulatory reporting purposes and assigns fixed maturities to one of the six categories called “NAIC Designations.” NAIC designations of “1” or “2” include fixed maturities considered investment grade, which generally include securities rated BBB- or higher by Standard &amp; Poor’s. NAIC designations of “3” through “6” are referred to as below investment grade, which generally include securities rated BB+ or lower by Standard &amp; Poor’s. In recent years, the NAIC adopted a modeling approach to determine the NAIC designation for RMBS and CMBS securities. As a result, the NAIC designation for structured securities may not correspond to the Standards &amp; Poor’s designations described.</w:t>
      </w:r>
    </w:p>
    <w:p>
      <w:pPr>
        <w:spacing w:after="0" w:line="11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following table presents our fixed maturities by NAIC designation and S&amp;P equivalent credit ratings, as well as the percentage of total fixed maturities, based upon fair value that each designation comprises: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83"/>
              </w:rPr>
              <w:t>As of December 31, 2012</w:t>
            </w:r>
          </w:p>
        </w:tc>
        <w:tc>
          <w:tcPr>
            <w:tcW w:w="6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84"/>
              </w:rPr>
              <w:t>As of December 31, 2011</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 of Total</w:t>
            </w:r>
          </w:p>
        </w:tc>
        <w:tc>
          <w:tcPr>
            <w:tcW w:w="400" w:type="dxa"/>
            <w:vAlign w:val="bottom"/>
          </w:tcPr>
          <w:p>
            <w:pPr>
              <w:spacing w:after="0"/>
              <w:rPr>
                <w:sz w:val="11"/>
                <w:szCs w:val="11"/>
                <w:color w:val="auto"/>
              </w:rPr>
            </w:pPr>
          </w:p>
        </w:tc>
        <w:tc>
          <w:tcPr>
            <w:tcW w:w="8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7"/>
              </w:rPr>
              <w:t>Amortized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6"/>
              </w:rPr>
              <w:t>% of Total</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740" w:type="dxa"/>
            <w:vAlign w:val="bottom"/>
          </w:tcPr>
          <w:p>
            <w:pPr>
              <w:jc w:val="right"/>
              <w:ind w:right="157"/>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Fair Value</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top w:val="single" w:sz="8" w:color="CCEEFF"/>
            </w:tcBorders>
            <w:shd w:val="clear" w:color="auto" w:fill="CCEEFF"/>
          </w:tcPr>
          <w:p>
            <w:pPr>
              <w:jc w:val="center"/>
              <w:ind w:right="32"/>
              <w:spacing w:after="0" w:line="196" w:lineRule="exact"/>
              <w:rPr>
                <w:sz w:val="20"/>
                <w:szCs w:val="20"/>
                <w:color w:val="auto"/>
              </w:rPr>
            </w:pPr>
            <w:r>
              <w:rPr>
                <w:rFonts w:ascii="Arial" w:cs="Arial" w:eastAsia="Arial" w:hAnsi="Arial"/>
                <w:sz w:val="18"/>
                <w:szCs w:val="18"/>
                <w:b w:val="1"/>
                <w:bCs w:val="1"/>
                <w:color w:val="auto"/>
                <w:w w:val="99"/>
              </w:rPr>
              <w:t>NAIC:</w:t>
            </w:r>
          </w:p>
        </w:tc>
        <w:tc>
          <w:tcPr>
            <w:tcW w:w="478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S&amp;P Equivalent:</w:t>
            </w: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jc w:val="center"/>
              <w:ind w:right="32"/>
              <w:spacing w:after="0"/>
              <w:rPr>
                <w:sz w:val="20"/>
                <w:szCs w:val="20"/>
                <w:color w:val="auto"/>
              </w:rPr>
            </w:pPr>
            <w:r>
              <w:rPr>
                <w:rFonts w:ascii="Arial" w:cs="Arial" w:eastAsia="Arial" w:hAnsi="Arial"/>
                <w:sz w:val="18"/>
                <w:szCs w:val="18"/>
                <w:color w:val="auto"/>
                <w:w w:val="99"/>
              </w:rPr>
              <w:t>1</w:t>
            </w:r>
          </w:p>
        </w:tc>
        <w:tc>
          <w:tcPr>
            <w:tcW w:w="4780" w:type="dxa"/>
            <w:vAlign w:val="bottom"/>
          </w:tcPr>
          <w:p>
            <w:pPr>
              <w:ind w:left="180"/>
              <w:spacing w:after="0"/>
              <w:rPr>
                <w:sz w:val="20"/>
                <w:szCs w:val="20"/>
                <w:color w:val="auto"/>
              </w:rPr>
            </w:pPr>
            <w:r>
              <w:rPr>
                <w:rFonts w:ascii="Arial" w:cs="Arial" w:eastAsia="Arial" w:hAnsi="Arial"/>
                <w:sz w:val="18"/>
                <w:szCs w:val="18"/>
                <w:color w:val="auto"/>
              </w:rPr>
              <w:t>AAA, AA, A</w:t>
            </w:r>
          </w:p>
        </w:tc>
        <w:tc>
          <w:tcPr>
            <w:tcW w:w="740" w:type="dxa"/>
            <w:vAlign w:val="bottom"/>
          </w:tcPr>
          <w:p>
            <w:pPr>
              <w:jc w:val="right"/>
              <w:spacing w:after="0"/>
              <w:rPr>
                <w:sz w:val="20"/>
                <w:szCs w:val="20"/>
                <w:color w:val="auto"/>
              </w:rPr>
            </w:pPr>
            <w:r>
              <w:rPr>
                <w:rFonts w:ascii="Arial" w:cs="Arial" w:eastAsia="Arial" w:hAnsi="Arial"/>
                <w:sz w:val="18"/>
                <w:szCs w:val="18"/>
                <w:color w:val="auto"/>
                <w:w w:val="84"/>
              </w:rPr>
              <w:t>$ 12,193.2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$ 13,748.9</w:t>
            </w:r>
          </w:p>
        </w:tc>
        <w:tc>
          <w:tcPr>
            <w:tcW w:w="2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58.5%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$ 12,684.8</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$ 13,987.6</w:t>
            </w:r>
          </w:p>
        </w:tc>
        <w:tc>
          <w:tcPr>
            <w:tcW w:w="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9"/>
              </w:rPr>
              <w:t>2</w:t>
            </w: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BBB</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7,638.9</w:t>
            </w:r>
          </w:p>
        </w:tc>
        <w:tc>
          <w:tcPr>
            <w:tcW w:w="2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8,490.9</w:t>
            </w:r>
          </w:p>
        </w:tc>
        <w:tc>
          <w:tcPr>
            <w:tcW w:w="2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4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7,409.5</w:t>
            </w:r>
          </w:p>
        </w:tc>
        <w:tc>
          <w:tcPr>
            <w:tcW w:w="2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Total investment grade</w:t>
            </w:r>
          </w:p>
        </w:tc>
        <w:tc>
          <w:tcPr>
            <w:tcW w:w="740" w:type="dxa"/>
            <w:vAlign w:val="bottom"/>
          </w:tcPr>
          <w:p>
            <w:pPr>
              <w:jc w:val="right"/>
              <w:spacing w:after="0"/>
              <w:rPr>
                <w:sz w:val="20"/>
                <w:szCs w:val="20"/>
                <w:color w:val="auto"/>
              </w:rPr>
            </w:pPr>
            <w:r>
              <w:rPr>
                <w:rFonts w:ascii="Arial" w:cs="Arial" w:eastAsia="Arial" w:hAnsi="Arial"/>
                <w:sz w:val="18"/>
                <w:szCs w:val="18"/>
                <w:color w:val="auto"/>
              </w:rPr>
              <w:t>19,832.1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22,239.8</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94.6</w:t>
            </w:r>
          </w:p>
        </w:tc>
        <w:tc>
          <w:tcPr>
            <w:tcW w:w="4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19,477.7</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21,397.1</w:t>
            </w:r>
          </w:p>
        </w:tc>
        <w:tc>
          <w:tcPr>
            <w:tcW w:w="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9"/>
              </w:rPr>
              <w:t>3</w:t>
            </w: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BB</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683.7</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902.9</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897.8</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jc w:val="center"/>
              <w:ind w:right="32"/>
              <w:spacing w:after="0"/>
              <w:rPr>
                <w:sz w:val="20"/>
                <w:szCs w:val="20"/>
                <w:color w:val="auto"/>
              </w:rPr>
            </w:pPr>
            <w:r>
              <w:rPr>
                <w:rFonts w:ascii="Arial" w:cs="Arial" w:eastAsia="Arial" w:hAnsi="Arial"/>
                <w:sz w:val="18"/>
                <w:szCs w:val="18"/>
                <w:color w:val="auto"/>
                <w:w w:val="99"/>
              </w:rPr>
              <w:t>4</w:t>
            </w:r>
          </w:p>
        </w:tc>
        <w:tc>
          <w:tcPr>
            <w:tcW w:w="4780" w:type="dxa"/>
            <w:vAlign w:val="bottom"/>
          </w:tcPr>
          <w:p>
            <w:pPr>
              <w:ind w:left="200"/>
              <w:spacing w:after="0"/>
              <w:rPr>
                <w:sz w:val="20"/>
                <w:szCs w:val="20"/>
                <w:color w:val="auto"/>
              </w:rPr>
            </w:pPr>
            <w:r>
              <w:rPr>
                <w:rFonts w:ascii="Arial" w:cs="Arial" w:eastAsia="Arial" w:hAnsi="Arial"/>
                <w:sz w:val="18"/>
                <w:szCs w:val="18"/>
                <w:color w:val="auto"/>
              </w:rPr>
              <w:t>B</w:t>
            </w:r>
          </w:p>
        </w:tc>
        <w:tc>
          <w:tcPr>
            <w:tcW w:w="740" w:type="dxa"/>
            <w:vAlign w:val="bottom"/>
          </w:tcPr>
          <w:p>
            <w:pPr>
              <w:jc w:val="right"/>
              <w:spacing w:after="0"/>
              <w:rPr>
                <w:sz w:val="20"/>
                <w:szCs w:val="20"/>
                <w:color w:val="auto"/>
              </w:rPr>
            </w:pPr>
            <w:r>
              <w:rPr>
                <w:rFonts w:ascii="Arial" w:cs="Arial" w:eastAsia="Arial" w:hAnsi="Arial"/>
                <w:sz w:val="18"/>
                <w:szCs w:val="18"/>
                <w:color w:val="auto"/>
              </w:rPr>
              <w:t>475.5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488.4</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549.4</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507.5</w:t>
            </w:r>
          </w:p>
        </w:tc>
        <w:tc>
          <w:tcPr>
            <w:tcW w:w="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9"/>
              </w:rPr>
              <w:t>5</w:t>
            </w: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CCC &amp; lower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124.4</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96.2</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jc w:val="center"/>
              <w:ind w:right="32"/>
              <w:spacing w:after="0"/>
              <w:rPr>
                <w:sz w:val="20"/>
                <w:szCs w:val="20"/>
                <w:color w:val="auto"/>
              </w:rPr>
            </w:pPr>
            <w:r>
              <w:rPr>
                <w:rFonts w:ascii="Arial" w:cs="Arial" w:eastAsia="Arial" w:hAnsi="Arial"/>
                <w:sz w:val="18"/>
                <w:szCs w:val="18"/>
                <w:color w:val="auto"/>
                <w:w w:val="99"/>
              </w:rPr>
              <w:t>6</w:t>
            </w:r>
          </w:p>
        </w:tc>
        <w:tc>
          <w:tcPr>
            <w:tcW w:w="4780" w:type="dxa"/>
            <w:vAlign w:val="bottom"/>
          </w:tcPr>
          <w:p>
            <w:pPr>
              <w:ind w:left="200"/>
              <w:spacing w:after="0"/>
              <w:rPr>
                <w:sz w:val="20"/>
                <w:szCs w:val="20"/>
                <w:color w:val="auto"/>
              </w:rPr>
            </w:pPr>
            <w:r>
              <w:rPr>
                <w:rFonts w:ascii="Arial" w:cs="Arial" w:eastAsia="Arial" w:hAnsi="Arial"/>
                <w:sz w:val="18"/>
                <w:szCs w:val="18"/>
                <w:color w:val="auto"/>
              </w:rPr>
              <w:t>In or near default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below investment grade</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1,241.3</w:t>
            </w:r>
          </w:p>
        </w:tc>
        <w:tc>
          <w:tcPr>
            <w:tcW w:w="2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1,279.2</w:t>
            </w:r>
          </w:p>
        </w:tc>
        <w:tc>
          <w:tcPr>
            <w:tcW w:w="2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1,508.1</w:t>
            </w:r>
          </w:p>
        </w:tc>
        <w:tc>
          <w:tcPr>
            <w:tcW w:w="2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4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4"/>
              </w:rPr>
              <w:t>$ 21,073.4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$ 23,519.0</w:t>
            </w:r>
          </w:p>
        </w:tc>
        <w:tc>
          <w:tcPr>
            <w:tcW w:w="2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$ 21,061.4</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$ 22,905.2</w:t>
            </w:r>
          </w:p>
        </w:tc>
        <w:tc>
          <w:tcPr>
            <w:tcW w:w="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Below investment grade securities comprised 5.4% and 6.6% of our fixed maturities portfolio as of December 31, 2012 and 2011, respectively. The decline in the relative amount of below investment grade fixed maturities is primarily due to securities that were upgraded to investment grade, or sold or otherwise redeemed during 2012. We held NAIC 5 and 6 designated securities with gross unrealized losses of $17.1 as of December 31, 2012, of which $12.8, or 74.9%, related to five issuers. Our analysis of these issuers, including management’s best estimates of future cash flows where appropriate, supports the recoverability of amortized cost.</w:t>
      </w:r>
    </w:p>
    <w:p>
      <w:pPr>
        <w:spacing w:after="0" w:line="143"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Certain of our fixed maturities are supported by guarantees from monoline bond insurers, the majority of which are municipal bonds. As of December 31, 2012, fixed maturities with monoline guarantees had an amortized cost of $494.7 and a fair value of $531.0, with gross unrealized losses of $1.9, compared to an</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amortized cost of $513.4 and a fair value of $543.4, with gross unrealized losses of $4.2 as of December 31, 2011. As of December 31, 2012, $508.1, or 95.7%, of the fair value of fixed maturities supported by guarantees from monoline bond insurers had investment grade credit ratings both with the monoline insurance and on a standalone basis. The credit ratings of our fixed maturities set forth in the table above reflect, where applicable, the guarantees provided by monoline bond insurers.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Fixed Maturity Securities and Unrealized Gains and Losses by Security Sector</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tables set forth the fair value of our fixed maturities by sector, as well as the associated gross unrealized gains and losses and the percentage of total fixed maturities that each sector comprises as of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9"/>
              </w:rPr>
              <w:t>As of December 31, 2012</w:t>
            </w: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Cost or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4"/>
              </w:rPr>
              <w:t>%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Amortized</w:t>
            </w:r>
          </w:p>
        </w:tc>
        <w:tc>
          <w:tcPr>
            <w:tcW w:w="20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Total Fair</w:t>
            </w:r>
          </w:p>
        </w:tc>
        <w:tc>
          <w:tcPr>
            <w:tcW w:w="200" w:type="dxa"/>
            <w:vAlign w:val="bottom"/>
          </w:tcPr>
          <w:p>
            <w:pPr>
              <w:spacing w:after="0"/>
              <w:rPr>
                <w:sz w:val="12"/>
                <w:szCs w:val="12"/>
                <w:color w:val="auto"/>
              </w:rPr>
            </w:pPr>
          </w:p>
        </w:tc>
        <w:tc>
          <w:tcPr>
            <w:tcW w:w="60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OTTI</w:t>
            </w:r>
          </w:p>
        </w:tc>
        <w:tc>
          <w:tcPr>
            <w:tcW w:w="0" w:type="dxa"/>
            <w:vAlign w:val="bottom"/>
          </w:tcPr>
          <w:p>
            <w:pPr>
              <w:spacing w:after="0"/>
              <w:rPr>
                <w:sz w:val="1"/>
                <w:szCs w:val="1"/>
                <w:color w:val="auto"/>
              </w:rPr>
            </w:pPr>
          </w:p>
        </w:tc>
      </w:tr>
      <w:tr>
        <w:trPr>
          <w:trHeight w:val="161"/>
        </w:trPr>
        <w:tc>
          <w:tcPr>
            <w:tcW w:w="4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Cost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40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in AOCI</w:t>
            </w:r>
          </w:p>
        </w:tc>
        <w:tc>
          <w:tcPr>
            <w:tcW w:w="0" w:type="dxa"/>
            <w:vAlign w:val="bottom"/>
          </w:tcPr>
          <w:p>
            <w:pPr>
              <w:spacing w:after="0"/>
              <w:rPr>
                <w:sz w:val="1"/>
                <w:szCs w:val="1"/>
                <w:color w:val="auto"/>
              </w:rPr>
            </w:pP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Security Sector</w:t>
            </w: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Corporate securities: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Consumer discretionary</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1,916.7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199.2</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2,113.7</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460" w:type="dxa"/>
            <w:vAlign w:val="bottom"/>
          </w:tcPr>
          <w:p>
            <w:pPr>
              <w:ind w:left="880"/>
              <w:spacing w:after="0"/>
              <w:rPr>
                <w:sz w:val="20"/>
                <w:szCs w:val="20"/>
                <w:color w:val="auto"/>
              </w:rPr>
            </w:pPr>
            <w:r>
              <w:rPr>
                <w:rFonts w:ascii="Arial" w:cs="Arial" w:eastAsia="Arial" w:hAnsi="Arial"/>
                <w:sz w:val="18"/>
                <w:szCs w:val="18"/>
                <w:color w:val="auto"/>
              </w:rPr>
              <w:t>Consumer staples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2,449.1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337.9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2,785.1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Energy</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ind w:left="880"/>
              <w:spacing w:after="0"/>
              <w:rPr>
                <w:sz w:val="20"/>
                <w:szCs w:val="20"/>
                <w:color w:val="auto"/>
              </w:rPr>
            </w:pPr>
            <w:r>
              <w:rPr>
                <w:rFonts w:ascii="Arial" w:cs="Arial" w:eastAsia="Arial" w:hAnsi="Arial"/>
                <w:sz w:val="18"/>
                <w:szCs w:val="18"/>
                <w:color w:val="auto"/>
              </w:rPr>
              <w:t>Financials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1,729.4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168.2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1,873.3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Health care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1,362.0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1,553.3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460" w:type="dxa"/>
            <w:vAlign w:val="bottom"/>
          </w:tcPr>
          <w:p>
            <w:pPr>
              <w:ind w:left="880"/>
              <w:spacing w:after="0"/>
              <w:rPr>
                <w:sz w:val="20"/>
                <w:szCs w:val="20"/>
                <w:color w:val="auto"/>
              </w:rPr>
            </w:pPr>
            <w:r>
              <w:rPr>
                <w:rFonts w:ascii="Arial" w:cs="Arial" w:eastAsia="Arial" w:hAnsi="Arial"/>
                <w:sz w:val="18"/>
                <w:szCs w:val="18"/>
                <w:color w:val="auto"/>
              </w:rPr>
              <w:t>Industrials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2,910.3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416.8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3,324.8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Information technology</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ind w:left="880"/>
              <w:spacing w:after="0"/>
              <w:rPr>
                <w:sz w:val="20"/>
                <w:szCs w:val="20"/>
                <w:color w:val="auto"/>
              </w:rPr>
            </w:pPr>
            <w:r>
              <w:rPr>
                <w:rFonts w:ascii="Arial" w:cs="Arial" w:eastAsia="Arial" w:hAnsi="Arial"/>
                <w:sz w:val="18"/>
                <w:szCs w:val="18"/>
                <w:color w:val="auto"/>
              </w:rPr>
              <w:t>Materials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1,343.1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144.5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1,480.2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(12.5)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Telecommunication services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460" w:type="dxa"/>
            <w:vAlign w:val="bottom"/>
          </w:tcPr>
          <w:p>
            <w:pPr>
              <w:ind w:left="880"/>
              <w:spacing w:after="0"/>
              <w:rPr>
                <w:sz w:val="20"/>
                <w:szCs w:val="20"/>
                <w:color w:val="auto"/>
              </w:rPr>
            </w:pPr>
            <w:r>
              <w:rPr>
                <w:rFonts w:ascii="Arial" w:cs="Arial" w:eastAsia="Arial" w:hAnsi="Arial"/>
                <w:sz w:val="18"/>
                <w:szCs w:val="18"/>
                <w:color w:val="auto"/>
              </w:rPr>
              <w:t>Utilities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1,673.9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259.2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1,921.9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corporate securities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15,280.4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1,972.6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17,201.6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(18.4)</w:t>
            </w: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U.S. government and agencies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307.6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311.5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 and political subdivisions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Residential mortgage-backed securities: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Agency</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2,449.0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2,688.3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ind w:left="880"/>
              <w:spacing w:after="0"/>
              <w:rPr>
                <w:sz w:val="20"/>
                <w:szCs w:val="20"/>
                <w:color w:val="auto"/>
              </w:rPr>
            </w:pPr>
            <w:r>
              <w:rPr>
                <w:rFonts w:ascii="Arial" w:cs="Arial" w:eastAsia="Arial" w:hAnsi="Arial"/>
                <w:sz w:val="18"/>
                <w:szCs w:val="18"/>
                <w:color w:val="auto"/>
              </w:rPr>
              <w:t>Non-agency:</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Prime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460" w:type="dxa"/>
            <w:vAlign w:val="bottom"/>
          </w:tcPr>
          <w:p>
            <w:pPr>
              <w:ind w:left="1300"/>
              <w:spacing w:after="0"/>
              <w:rPr>
                <w:sz w:val="20"/>
                <w:szCs w:val="20"/>
                <w:color w:val="auto"/>
              </w:rPr>
            </w:pPr>
            <w:r>
              <w:rPr>
                <w:rFonts w:ascii="Arial" w:cs="Arial" w:eastAsia="Arial" w:hAnsi="Arial"/>
                <w:sz w:val="18"/>
                <w:szCs w:val="18"/>
                <w:color w:val="auto"/>
              </w:rPr>
              <w:t>Alt-A</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residential mortgage-backed securities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2,755.5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3,007.8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(10.2)</w:t>
            </w: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Commercial mortgage-backed securities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1,538.2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170.4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1,707.7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debt obligations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6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21,073.4</w:t>
            </w:r>
          </w:p>
        </w:tc>
        <w:tc>
          <w:tcPr>
            <w:tcW w:w="300" w:type="dxa"/>
            <w:vAlign w:val="bottom"/>
            <w:gridSpan w:val="2"/>
          </w:tcPr>
          <w:p>
            <w:pPr>
              <w:ind w:left="2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2,502.3</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(56.7)</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23,519.0</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100.0%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(30.1)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center"/>
              <w:ind w:right="34"/>
              <w:spacing w:after="0"/>
              <w:rPr>
                <w:sz w:val="20"/>
                <w:szCs w:val="20"/>
                <w:color w:val="auto"/>
              </w:rPr>
            </w:pPr>
            <w:r>
              <w:rPr>
                <w:rFonts w:ascii="Arial" w:cs="Arial" w:eastAsia="Arial" w:hAnsi="Arial"/>
                <w:sz w:val="18"/>
                <w:szCs w:val="18"/>
                <w:color w:val="auto"/>
                <w:w w:val="89"/>
              </w:rPr>
              <w:t>88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w w:val="84"/>
              </w:rPr>
              <w:t>As of December 31, 2011</w:t>
            </w: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14"/>
              <w:spacing w:after="0" w:line="129" w:lineRule="exact"/>
              <w:rPr>
                <w:sz w:val="20"/>
                <w:szCs w:val="20"/>
                <w:color w:val="auto"/>
              </w:rPr>
            </w:pPr>
            <w:r>
              <w:rPr>
                <w:rFonts w:ascii="Arial" w:cs="Arial" w:eastAsia="Arial" w:hAnsi="Arial"/>
                <w:sz w:val="14"/>
                <w:szCs w:val="14"/>
                <w:b w:val="1"/>
                <w:bCs w:val="1"/>
                <w:color w:val="auto"/>
                <w:w w:val="89"/>
              </w:rPr>
              <w:t>Cost or</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Amortized</w:t>
            </w:r>
          </w:p>
        </w:tc>
        <w:tc>
          <w:tcPr>
            <w:tcW w:w="28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Fair</w:t>
            </w: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Total Fair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OTTI</w:t>
            </w:r>
          </w:p>
        </w:tc>
        <w:tc>
          <w:tcPr>
            <w:tcW w:w="0" w:type="dxa"/>
            <w:vAlign w:val="bottom"/>
          </w:tcPr>
          <w:p>
            <w:pPr>
              <w:spacing w:after="0"/>
              <w:rPr>
                <w:sz w:val="1"/>
                <w:szCs w:val="1"/>
                <w:color w:val="auto"/>
              </w:rPr>
            </w:pPr>
          </w:p>
        </w:tc>
      </w:t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78"/>
              </w:rPr>
              <w:t>Losses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Value</w:t>
            </w:r>
          </w:p>
        </w:tc>
        <w:tc>
          <w:tcPr>
            <w:tcW w:w="140" w:type="dxa"/>
            <w:vAlign w:val="bottom"/>
          </w:tcPr>
          <w:p>
            <w:pPr>
              <w:spacing w:after="0"/>
              <w:rPr>
                <w:sz w:val="14"/>
                <w:szCs w:val="14"/>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7"/>
              </w:rPr>
              <w:t>in AOCI</w:t>
            </w:r>
          </w:p>
        </w:tc>
        <w:tc>
          <w:tcPr>
            <w:tcW w:w="0" w:type="dxa"/>
            <w:vAlign w:val="bottom"/>
          </w:tcPr>
          <w:p>
            <w:pPr>
              <w:spacing w:after="0"/>
              <w:rPr>
                <w:sz w:val="1"/>
                <w:szCs w:val="1"/>
                <w:color w:val="auto"/>
              </w:rPr>
            </w:pPr>
          </w:p>
        </w:tc>
      </w:tr>
      <w:tr>
        <w:trPr>
          <w:trHeight w:val="196"/>
        </w:trPr>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Security Sector</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Corporate securities: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Consumer discretionary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1,578.6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1,709.0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820" w:type="dxa"/>
            <w:vAlign w:val="bottom"/>
          </w:tcPr>
          <w:p>
            <w:pPr>
              <w:ind w:left="880"/>
              <w:spacing w:after="0"/>
              <w:rPr>
                <w:sz w:val="20"/>
                <w:szCs w:val="20"/>
                <w:color w:val="auto"/>
              </w:rPr>
            </w:pPr>
            <w:r>
              <w:rPr>
                <w:rFonts w:ascii="Arial" w:cs="Arial" w:eastAsia="Arial" w:hAnsi="Arial"/>
                <w:sz w:val="18"/>
                <w:szCs w:val="18"/>
                <w:color w:val="auto"/>
              </w:rPr>
              <w:t>Consumer staples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2,409.3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308.3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2,710.7</w:t>
            </w:r>
          </w:p>
        </w:tc>
        <w:tc>
          <w:tcPr>
            <w:tcW w:w="600" w:type="dxa"/>
            <w:vAlign w:val="bottom"/>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Energy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859.3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880"/>
              <w:spacing w:after="0"/>
              <w:rPr>
                <w:sz w:val="20"/>
                <w:szCs w:val="20"/>
                <w:color w:val="auto"/>
              </w:rPr>
            </w:pPr>
            <w:r>
              <w:rPr>
                <w:rFonts w:ascii="Arial" w:cs="Arial" w:eastAsia="Arial" w:hAnsi="Arial"/>
                <w:sz w:val="18"/>
                <w:szCs w:val="18"/>
                <w:color w:val="auto"/>
              </w:rPr>
              <w:t>Financials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1,882.1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1,879.3</w:t>
            </w: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Health care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1,280.3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1,433.6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820" w:type="dxa"/>
            <w:vAlign w:val="bottom"/>
          </w:tcPr>
          <w:p>
            <w:pPr>
              <w:ind w:left="880"/>
              <w:spacing w:after="0"/>
              <w:rPr>
                <w:sz w:val="20"/>
                <w:szCs w:val="20"/>
                <w:color w:val="auto"/>
              </w:rPr>
            </w:pPr>
            <w:r>
              <w:rPr>
                <w:rFonts w:ascii="Arial" w:cs="Arial" w:eastAsia="Arial" w:hAnsi="Arial"/>
                <w:sz w:val="18"/>
                <w:szCs w:val="18"/>
                <w:color w:val="auto"/>
              </w:rPr>
              <w:t>Industrials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2,865.6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342.6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3,197.4</w:t>
            </w:r>
          </w:p>
        </w:tc>
        <w:tc>
          <w:tcPr>
            <w:tcW w:w="600" w:type="dxa"/>
            <w:vAlign w:val="bottom"/>
          </w:tcPr>
          <w:p>
            <w:pPr>
              <w:jc w:val="right"/>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Information technology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880"/>
              <w:spacing w:after="0"/>
              <w:rPr>
                <w:sz w:val="20"/>
                <w:szCs w:val="20"/>
                <w:color w:val="auto"/>
              </w:rPr>
            </w:pPr>
            <w:r>
              <w:rPr>
                <w:rFonts w:ascii="Arial" w:cs="Arial" w:eastAsia="Arial" w:hAnsi="Arial"/>
                <w:sz w:val="18"/>
                <w:szCs w:val="18"/>
                <w:color w:val="auto"/>
              </w:rPr>
              <w:t>Materials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1,270.3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110.5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1,355.9</w:t>
            </w: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Telecommunication services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715.7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820" w:type="dxa"/>
            <w:vAlign w:val="bottom"/>
          </w:tcPr>
          <w:p>
            <w:pPr>
              <w:ind w:left="880"/>
              <w:spacing w:after="0"/>
              <w:rPr>
                <w:sz w:val="20"/>
                <w:szCs w:val="20"/>
                <w:color w:val="auto"/>
              </w:rPr>
            </w:pPr>
            <w:r>
              <w:rPr>
                <w:rFonts w:ascii="Arial" w:cs="Arial" w:eastAsia="Arial" w:hAnsi="Arial"/>
                <w:sz w:val="18"/>
                <w:szCs w:val="18"/>
                <w:color w:val="auto"/>
              </w:rPr>
              <w:t>Utilities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1,719.2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223.0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1,926.3</w:t>
            </w:r>
          </w:p>
        </w:tc>
        <w:tc>
          <w:tcPr>
            <w:tcW w:w="600" w:type="dxa"/>
            <w:vAlign w:val="bottom"/>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corporate securities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14,795.4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1,570.8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16,181.2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U.S. government and agencies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87.2</w:t>
            </w: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635.3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Residential mortgage-backed securities: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Agency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3,019.5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3,262.8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880"/>
              <w:spacing w:after="0"/>
              <w:rPr>
                <w:sz w:val="20"/>
                <w:szCs w:val="20"/>
                <w:color w:val="auto"/>
              </w:rPr>
            </w:pPr>
            <w:r>
              <w:rPr>
                <w:rFonts w:ascii="Arial" w:cs="Arial" w:eastAsia="Arial" w:hAnsi="Arial"/>
                <w:sz w:val="18"/>
                <w:szCs w:val="18"/>
                <w:color w:val="auto"/>
              </w:rPr>
              <w:t>Non-agency:</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Prime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5820" w:type="dxa"/>
            <w:vAlign w:val="bottom"/>
          </w:tcPr>
          <w:p>
            <w:pPr>
              <w:ind w:left="1300"/>
              <w:spacing w:after="0"/>
              <w:rPr>
                <w:sz w:val="20"/>
                <w:szCs w:val="20"/>
                <w:color w:val="auto"/>
              </w:rPr>
            </w:pPr>
            <w:r>
              <w:rPr>
                <w:rFonts w:ascii="Arial" w:cs="Arial" w:eastAsia="Arial" w:hAnsi="Arial"/>
                <w:sz w:val="18"/>
                <w:szCs w:val="18"/>
                <w:color w:val="auto"/>
              </w:rPr>
              <w:t>Alt-A</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89.4</w:t>
            </w: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residential mortgage-backed securities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3,388.4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3,625.0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Commercial mortgage-backed securities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1,698.1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143.0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1,837.0</w:t>
            </w: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debt obligations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21,061.4</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2,054.1</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(210.3)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22,905.2</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100.0 %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fixed maturities holdings are diversified by industry and issuer, and the portfolio does not have significant exposure to any single issuer. As of December 31, 2012 and 2011, the fair value of our ten largest corporate securities holdings was $1,555.0 and $1,505.0, or 9.0% and 9.3% of the portfolio, respectively. As of December 31, 2012, the fair value of our largest exposure to a single issuer of corporate securities was $240.6, or 1.4% of total corporate securities. All of the securities related to this issuer have an NAIC rating of 1. As of December 31, 2011, the fair value of our largest exposure to a single issuer of corporate securities was $221.5, or 1.4%, all of which had an NAIC rating of 2 or higher.</w:t>
      </w:r>
    </w:p>
    <w:p>
      <w:pPr>
        <w:spacing w:after="0" w:line="11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During the year ended December 31, 2012, our investments in corporate securities increased relative to other fixed maturities due to attractive risk and reward characteristics and the availability of suitable securities. We have mainly purchased investment grade corporate securities, with a focus on obtaining appropriate yields and duration to match our policyholder liabilities while retaining quality.</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Additionally, as of December 31, 2012, our investments in U.S. government and agency securities increased $224.3, to $311.5 from $87.2 as of December 31, 2011. The increase is due to higher holdings of U.S. treasury securities, which were purchased with excess cash to obtain higher yields until suitable investments are found. Our investments in agency RMBS decreased $574.5, to $2,688.3 as of December 31, 2012 compared to $3,262.8 as of December 31, 2011. During 2012, we executed our investment strategy of selling lower yielding, higher premium agency RMBS to manage our prepayment risk exposure, which reduced RMBS holdings.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Gross unrealized losses in financial sector securities improved $69.0, to $24.3 as of December 31, 2012, from $93.3 as of December 31, 2011. The losses were primarily associated with long dated subordinated, hybrid, and preferred securities, and the securities’ prices reflect relatively wide financial sector credit spreads. Financial sector credit spreads were wider at December 31, 2011 due to heightened concerns over the European debt crisis and its potential impact on the industry, and have since tightened. Improvement in gross unrealized losses can also be attributed to sales, calls and tenders of securities. Additionally, as of December 31, 2012, $9.4 of the gross unrealized losses were related to a single holding. Based on our analysis of this security, as well as our other financial sector holdings in an unrealized loss position, we expect to recover the entire amortized cost.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Fixed Maturity Securities in European Countries</w:t>
      </w:r>
    </w:p>
    <w:p>
      <w:pPr>
        <w:spacing w:after="0" w:line="90"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The following tables summarize our exposure to fixed maturities in European countries, reported in U.S. dollars and separated into sovereign debt, financial industry and other corporate debt. The country designation is based on the issuer’s country of incorporation. The majority of these holdings are denominated in U.S. dollars. As of December 31, 2012, we held $156.1 of fixed maturities denominated in a foreign currency. We did not hold any foreign-currency denominated fixed maturities as of December 31, 2011.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As of December 31, 2012</w:t>
            </w: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79"/>
              </w:rPr>
              <w:t>Sovereign</w:t>
            </w:r>
          </w:p>
        </w:tc>
        <w:tc>
          <w:tcPr>
            <w:tcW w:w="20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Financial</w:t>
            </w:r>
          </w:p>
        </w:tc>
        <w:tc>
          <w:tcPr>
            <w:tcW w:w="100" w:type="dxa"/>
            <w:vAlign w:val="bottom"/>
          </w:tcPr>
          <w:p>
            <w:pPr>
              <w:spacing w:after="0"/>
              <w:rPr>
                <w:sz w:val="11"/>
                <w:szCs w:val="11"/>
                <w:color w:val="auto"/>
              </w:rPr>
            </w:pPr>
          </w:p>
        </w:tc>
        <w:tc>
          <w:tcPr>
            <w:tcW w:w="52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w w:val="96"/>
              </w:rPr>
              <w:t>Other</w:t>
            </w:r>
          </w:p>
        </w:tc>
        <w:tc>
          <w:tcPr>
            <w:tcW w:w="400" w:type="dxa"/>
            <w:vAlign w:val="bottom"/>
          </w:tcPr>
          <w:p>
            <w:pPr>
              <w:spacing w:after="0"/>
              <w:rPr>
                <w:sz w:val="11"/>
                <w:szCs w:val="11"/>
                <w:color w:val="auto"/>
              </w:rPr>
            </w:pPr>
          </w:p>
        </w:tc>
        <w:tc>
          <w:tcPr>
            <w:tcW w:w="10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Total Fair</w:t>
            </w:r>
          </w:p>
        </w:tc>
        <w:tc>
          <w:tcPr>
            <w:tcW w:w="88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Amortized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w:t>
            </w:r>
          </w:p>
        </w:tc>
        <w:tc>
          <w:tcPr>
            <w:tcW w:w="2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Industry</w:t>
            </w: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Corporate</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1"/>
              </w:rPr>
              <w:t>Exposure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European Countries:</w:t>
            </w:r>
          </w:p>
        </w:tc>
        <w:tc>
          <w:tcPr>
            <w:tcW w:w="20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440"/>
              <w:spacing w:after="0"/>
              <w:rPr>
                <w:sz w:val="20"/>
                <w:szCs w:val="20"/>
                <w:color w:val="auto"/>
              </w:rPr>
            </w:pPr>
            <w:r>
              <w:rPr>
                <w:rFonts w:ascii="Arial" w:cs="Arial" w:eastAsia="Arial" w:hAnsi="Arial"/>
                <w:sz w:val="18"/>
                <w:szCs w:val="18"/>
                <w:color w:val="auto"/>
              </w:rPr>
              <w:t>United Kingdom</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543.3</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591.6</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35.9%</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523.5</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Netherlands</w:t>
            </w: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563.9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518.0</w:t>
            </w:r>
          </w:p>
        </w:tc>
        <w:tc>
          <w:tcPr>
            <w:tcW w:w="0" w:type="dxa"/>
            <w:vAlign w:val="bottom"/>
          </w:tcPr>
          <w:p>
            <w:pPr>
              <w:spacing w:after="0"/>
              <w:rPr>
                <w:sz w:val="1"/>
                <w:szCs w:val="1"/>
                <w:color w:val="auto"/>
              </w:rPr>
            </w:pPr>
          </w:p>
        </w:tc>
      </w:tr>
      <w:tr>
        <w:trPr>
          <w:trHeight w:val="216"/>
        </w:trPr>
        <w:tc>
          <w:tcPr>
            <w:tcW w:w="3620" w:type="dxa"/>
            <w:vAlign w:val="bottom"/>
          </w:tcPr>
          <w:p>
            <w:pPr>
              <w:ind w:left="440"/>
              <w:spacing w:after="0"/>
              <w:rPr>
                <w:sz w:val="20"/>
                <w:szCs w:val="20"/>
                <w:color w:val="auto"/>
              </w:rPr>
            </w:pPr>
            <w:r>
              <w:rPr>
                <w:rFonts w:ascii="Arial" w:cs="Arial" w:eastAsia="Arial" w:hAnsi="Arial"/>
                <w:sz w:val="18"/>
                <w:szCs w:val="18"/>
                <w:color w:val="auto"/>
              </w:rPr>
              <w:t>France</w:t>
            </w: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116.9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136.0</w:t>
            </w:r>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Luxembourg</w:t>
            </w: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116.5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3620" w:type="dxa"/>
            <w:vAlign w:val="bottom"/>
          </w:tcPr>
          <w:p>
            <w:pPr>
              <w:ind w:left="440"/>
              <w:spacing w:after="0"/>
              <w:rPr>
                <w:sz w:val="20"/>
                <w:szCs w:val="20"/>
                <w:color w:val="auto"/>
              </w:rPr>
            </w:pPr>
            <w:r>
              <w:rPr>
                <w:rFonts w:ascii="Arial" w:cs="Arial" w:eastAsia="Arial" w:hAnsi="Arial"/>
                <w:sz w:val="18"/>
                <w:szCs w:val="18"/>
                <w:color w:val="auto"/>
              </w:rPr>
              <w:t>Switzerland</w:t>
            </w: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111.5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111.5</w:t>
            </w: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Sweden</w:t>
            </w: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3620" w:type="dxa"/>
            <w:vAlign w:val="bottom"/>
          </w:tcPr>
          <w:p>
            <w:pPr>
              <w:ind w:left="440"/>
              <w:spacing w:after="0"/>
              <w:rPr>
                <w:sz w:val="20"/>
                <w:szCs w:val="20"/>
                <w:color w:val="auto"/>
              </w:rPr>
            </w:pPr>
            <w:r>
              <w:rPr>
                <w:rFonts w:ascii="Arial" w:cs="Arial" w:eastAsia="Arial" w:hAnsi="Arial"/>
                <w:sz w:val="18"/>
                <w:szCs w:val="18"/>
                <w:color w:val="auto"/>
              </w:rPr>
              <w:t>Germany</w:t>
            </w: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19.9</w:t>
            </w: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Denmark</w:t>
            </w: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3620" w:type="dxa"/>
            <w:vAlign w:val="bottom"/>
          </w:tcPr>
          <w:p>
            <w:pPr>
              <w:ind w:left="440"/>
              <w:spacing w:after="0"/>
              <w:rPr>
                <w:sz w:val="20"/>
                <w:szCs w:val="20"/>
                <w:color w:val="auto"/>
              </w:rPr>
            </w:pPr>
            <w:r>
              <w:rPr>
                <w:rFonts w:ascii="Arial" w:cs="Arial" w:eastAsia="Arial" w:hAnsi="Arial"/>
                <w:sz w:val="18"/>
                <w:szCs w:val="18"/>
                <w:color w:val="auto"/>
              </w:rPr>
              <w:t>Italy</w:t>
            </w: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14.3</w:t>
            </w: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Norway</w:t>
            </w: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620" w:type="dxa"/>
            <w:vAlign w:val="bottom"/>
          </w:tcPr>
          <w:p>
            <w:pPr>
              <w:ind w:left="440"/>
              <w:spacing w:after="0"/>
              <w:rPr>
                <w:sz w:val="20"/>
                <w:szCs w:val="20"/>
                <w:color w:val="auto"/>
              </w:rPr>
            </w:pPr>
            <w:r>
              <w:rPr>
                <w:rFonts w:ascii="Arial" w:cs="Arial" w:eastAsia="Arial" w:hAnsi="Arial"/>
                <w:sz w:val="18"/>
                <w:szCs w:val="18"/>
                <w:color w:val="auto"/>
              </w:rPr>
              <w:t>Austria</w:t>
            </w: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Spain</w:t>
            </w: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620" w:type="dxa"/>
            <w:vAlign w:val="bottom"/>
          </w:tcPr>
          <w:p>
            <w:pPr>
              <w:ind w:left="440"/>
              <w:spacing w:after="0"/>
              <w:rPr>
                <w:sz w:val="20"/>
                <w:szCs w:val="20"/>
                <w:color w:val="auto"/>
              </w:rPr>
            </w:pPr>
            <w:r>
              <w:rPr>
                <w:rFonts w:ascii="Arial" w:cs="Arial" w:eastAsia="Arial" w:hAnsi="Arial"/>
                <w:sz w:val="18"/>
                <w:szCs w:val="18"/>
                <w:color w:val="auto"/>
              </w:rPr>
              <w:t>Ireland</w:t>
            </w: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Portugal</w:t>
            </w: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20" w:type="dxa"/>
            <w:vAlign w:val="bottom"/>
            <w:vMerge w:val="continue"/>
          </w:tcPr>
          <w:p>
            <w:pPr>
              <w:spacing w:after="0"/>
              <w:rPr>
                <w:sz w:val="19"/>
                <w:szCs w:val="19"/>
                <w:color w:val="auto"/>
              </w:rPr>
            </w:pPr>
          </w:p>
        </w:tc>
        <w:tc>
          <w:tcPr>
            <w:tcW w:w="20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191.1</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1,457.6</w:t>
            </w:r>
          </w:p>
        </w:tc>
        <w:tc>
          <w:tcPr>
            <w:tcW w:w="480" w:type="dxa"/>
            <w:vAlign w:val="bottom"/>
            <w:gridSpan w:val="2"/>
          </w:tcPr>
          <w:p>
            <w:pPr>
              <w:ind w:left="400"/>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1,649.4</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300" w:type="dxa"/>
            <w:vAlign w:val="bottom"/>
            <w:gridSpan w:val="2"/>
          </w:tcPr>
          <w:p>
            <w:pPr>
              <w:ind w:left="20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1,494.5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20" w:type="dxa"/>
            <w:vAlign w:val="bottom"/>
          </w:tcPr>
          <w:p>
            <w:pPr>
              <w:spacing w:after="0"/>
              <w:rPr>
                <w:sz w:val="24"/>
                <w:szCs w:val="24"/>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As of December 31, 2011</w:t>
            </w: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7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Sovereign</w:t>
            </w:r>
          </w:p>
        </w:tc>
        <w:tc>
          <w:tcPr>
            <w:tcW w:w="20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Financial</w:t>
            </w:r>
          </w:p>
        </w:tc>
        <w:tc>
          <w:tcPr>
            <w:tcW w:w="100" w:type="dxa"/>
            <w:vAlign w:val="bottom"/>
          </w:tcPr>
          <w:p>
            <w:pPr>
              <w:spacing w:after="0"/>
              <w:rPr>
                <w:sz w:val="11"/>
                <w:szCs w:val="11"/>
                <w:color w:val="auto"/>
              </w:rPr>
            </w:pPr>
          </w:p>
        </w:tc>
        <w:tc>
          <w:tcPr>
            <w:tcW w:w="52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w w:val="96"/>
              </w:rPr>
              <w:t>Other</w:t>
            </w:r>
          </w:p>
        </w:tc>
        <w:tc>
          <w:tcPr>
            <w:tcW w:w="400" w:type="dxa"/>
            <w:vAlign w:val="bottom"/>
          </w:tcPr>
          <w:p>
            <w:pPr>
              <w:spacing w:after="0"/>
              <w:rPr>
                <w:sz w:val="11"/>
                <w:szCs w:val="11"/>
                <w:color w:val="auto"/>
              </w:rPr>
            </w:pPr>
          </w:p>
        </w:tc>
        <w:tc>
          <w:tcPr>
            <w:tcW w:w="10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Total Fair</w:t>
            </w:r>
          </w:p>
        </w:tc>
        <w:tc>
          <w:tcPr>
            <w:tcW w:w="88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Amortized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Debt</w:t>
            </w:r>
          </w:p>
        </w:tc>
        <w:tc>
          <w:tcPr>
            <w:tcW w:w="2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Industry</w:t>
            </w: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Corporate</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1"/>
              </w:rPr>
              <w:t>Exposure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European Countries:</w:t>
            </w:r>
          </w:p>
        </w:tc>
        <w:tc>
          <w:tcPr>
            <w:tcW w:w="20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420"/>
              <w:spacing w:after="0"/>
              <w:rPr>
                <w:sz w:val="20"/>
                <w:szCs w:val="20"/>
                <w:color w:val="auto"/>
              </w:rPr>
            </w:pPr>
            <w:r>
              <w:rPr>
                <w:rFonts w:ascii="Arial" w:cs="Arial" w:eastAsia="Arial" w:hAnsi="Arial"/>
                <w:sz w:val="18"/>
                <w:szCs w:val="18"/>
                <w:color w:val="auto"/>
              </w:rPr>
              <w:t>United Kingdom</w:t>
            </w:r>
          </w:p>
        </w:tc>
        <w:tc>
          <w:tcPr>
            <w:tcW w:w="2160" w:type="dxa"/>
            <w:vAlign w:val="bottom"/>
            <w:gridSpan w:val="2"/>
          </w:tcPr>
          <w:p>
            <w:pPr>
              <w:ind w:left="204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491.7</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519.6</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37.4%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Netherlands</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361.0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420"/>
              <w:spacing w:after="0"/>
              <w:rPr>
                <w:sz w:val="20"/>
                <w:szCs w:val="20"/>
                <w:color w:val="auto"/>
              </w:rPr>
            </w:pPr>
            <w:r>
              <w:rPr>
                <w:rFonts w:ascii="Arial" w:cs="Arial" w:eastAsia="Arial" w:hAnsi="Arial"/>
                <w:sz w:val="18"/>
                <w:szCs w:val="18"/>
                <w:color w:val="auto"/>
              </w:rPr>
              <w:t>Luxembourg</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150.6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150.6</w:t>
            </w: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Switzerland</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100.8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420"/>
              <w:spacing w:after="0"/>
              <w:rPr>
                <w:sz w:val="20"/>
                <w:szCs w:val="20"/>
                <w:color w:val="auto"/>
              </w:rPr>
            </w:pPr>
            <w:r>
              <w:rPr>
                <w:rFonts w:ascii="Arial" w:cs="Arial" w:eastAsia="Arial" w:hAnsi="Arial"/>
                <w:sz w:val="18"/>
                <w:szCs w:val="18"/>
                <w:color w:val="auto"/>
              </w:rPr>
              <w:t>France</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98.7</w:t>
            </w:r>
          </w:p>
        </w:tc>
        <w:tc>
          <w:tcPr>
            <w:tcW w:w="540" w:type="dxa"/>
            <w:vAlign w:val="bottom"/>
          </w:tcPr>
          <w:p>
            <w:pPr>
              <w:jc w:val="right"/>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Sweden</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420"/>
              <w:spacing w:after="0"/>
              <w:rPr>
                <w:sz w:val="20"/>
                <w:szCs w:val="20"/>
                <w:color w:val="auto"/>
              </w:rPr>
            </w:pPr>
            <w:r>
              <w:rPr>
                <w:rFonts w:ascii="Arial" w:cs="Arial" w:eastAsia="Arial" w:hAnsi="Arial"/>
                <w:sz w:val="18"/>
                <w:szCs w:val="18"/>
                <w:color w:val="auto"/>
              </w:rPr>
              <w:t>Germany</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22.3</w:t>
            </w: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Austria</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420"/>
              <w:spacing w:after="0"/>
              <w:rPr>
                <w:sz w:val="20"/>
                <w:szCs w:val="20"/>
                <w:color w:val="auto"/>
              </w:rPr>
            </w:pPr>
            <w:r>
              <w:rPr>
                <w:rFonts w:ascii="Arial" w:cs="Arial" w:eastAsia="Arial" w:hAnsi="Arial"/>
                <w:sz w:val="18"/>
                <w:szCs w:val="18"/>
                <w:color w:val="auto"/>
              </w:rPr>
              <w:t>Italy</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18.9</w:t>
            </w: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Spain</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420"/>
              <w:spacing w:after="0"/>
              <w:rPr>
                <w:sz w:val="20"/>
                <w:szCs w:val="20"/>
                <w:color w:val="auto"/>
              </w:rPr>
            </w:pPr>
            <w:r>
              <w:rPr>
                <w:rFonts w:ascii="Arial" w:cs="Arial" w:eastAsia="Arial" w:hAnsi="Arial"/>
                <w:sz w:val="18"/>
                <w:szCs w:val="18"/>
                <w:color w:val="auto"/>
              </w:rPr>
              <w:t>Finland</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9.3</w:t>
            </w: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Norway</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420"/>
              <w:spacing w:after="0"/>
              <w:rPr>
                <w:sz w:val="20"/>
                <w:szCs w:val="20"/>
                <w:color w:val="auto"/>
              </w:rPr>
            </w:pPr>
            <w:r>
              <w:rPr>
                <w:rFonts w:ascii="Arial" w:cs="Arial" w:eastAsia="Arial" w:hAnsi="Arial"/>
                <w:sz w:val="18"/>
                <w:szCs w:val="18"/>
                <w:color w:val="auto"/>
              </w:rPr>
              <w:t>Belgium</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7.8</w:t>
            </w: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Greece</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420"/>
              <w:spacing w:after="0"/>
              <w:rPr>
                <w:sz w:val="20"/>
                <w:szCs w:val="20"/>
                <w:color w:val="auto"/>
              </w:rPr>
            </w:pPr>
            <w:r>
              <w:rPr>
                <w:rFonts w:ascii="Arial" w:cs="Arial" w:eastAsia="Arial" w:hAnsi="Arial"/>
                <w:sz w:val="18"/>
                <w:szCs w:val="18"/>
                <w:color w:val="auto"/>
              </w:rPr>
              <w:t>Portugal</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0.6</w:t>
            </w: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157.1</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1,233.5</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1,391.2</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1,310.9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As of December 31, 2012 and 2011, the fair value of our fixed maturities in European countries was 7.0% and 6.1% of our total fixed maturities portfolio, respectively. Our gross unrealized losses on these securities decreased to $4.1 as of December 31, 2012, compared to $32.9 as of December 31, 2011, due to decreased concerns over the European debt crises and sales and tender activity in 2012. The fair value of our ten largest European security holdings was $920.7, or 3.9% of the fixed maturities portfolio as of December 31, 2012, and $836.1, or 3.7%, as of December 31, 2011. The fair value of our largest single issuer exposure to a European country was $125.0 and $116.0 as of December 31, 2012 and 2011, respectively, or 0.5% of the portfolio for both years.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primary insurance subsidiary is domiciled in Washington State and, effective July 1, 2012, Washington State law changed to increase the percentage of assets we are able to invest in foreign securities to 20%, from 10%, of statutory admitted assets. This opportunity provides us with additional flexibility to invest in high-quality foreign corporate securities with a focus on investment grade securities. During the fourth quarter of 2012, we purchased foreign fixed maturity securities of $156.1.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Fixed Maturity Securities by Contractual Maturity Date</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As of December 31, 2012, approximately 20% of the fair value of our fixed maturity portfolio was held in mortgage-backed securities, and approximately 21% was held in securities due after ten years, which we consider to be longer duration assets. As of December 31, 2011, approximately 24% of the fair value of our fixed maturity portfolio was held in mortgage-backed securities, and approximately 23% was held in securities that are due after ten years.</w:t>
      </w:r>
    </w:p>
    <w:p>
      <w:pPr>
        <w:spacing w:after="0" w:line="107"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As of December 31, 2012 and 2011, approximately 61% and 78%, respectively, of the gross unrealized losses on our investment portfolio related to these longer duration assets, which fluctuate more significantly with changes in interest rates and credit spreads. Refer to Note 4 to the accompanying consolidated financial statements for a table summarizing the amortized cost and fair value of fixed maturities by contractual years to maturity as of December 31, 2012.</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Mortgage-Backed Securities</w:t>
      </w:r>
    </w:p>
    <w:p>
      <w:pPr>
        <w:spacing w:after="0" w:line="9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As of December 31, 2012, our fixed maturity securities portfolio included $4.7 billion of residential and commercial mortgage-backed securities at fair value. The residential and commercial real estate markets were significantly impacted by the financial crisis and recession, but have since stabilized. Non-agency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mortgage-backed securities issued in the 2006 through 2008 vintage years were generally the most affected by the financial crisis, due to weaker underwriting standards and an issuance date closest to the market peak.</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mortgage-backed securities are primarily agency securities, which account for approximately 65% of the portfolio. Additionally, approximately 27% of our mortgage-backed securities are AAA-rated non-agency securities in the most senior tranche of the structure type.</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All of our RMBS and CMBS have prepayment options. Prepayments that vary from our estimates in amount or timing cause fluctuations in our yields due to an acceleration or deceleration of unamortized premium or discount associated with the securities in our portfolio. These adjustments, which relate primarily to RMBS, are recorded in net investment income in our results of operations and create volatility between periods. Refer to the RMBS section below for additional discussion.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Residential Mortgage-Backed Securities (RMBS)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classify our investments in RMBS as agency, prime, Alt-A, and subprime. Agency RMBS are guaranteed or otherwise supported by the Federal National Mortgage Association, the Federal Home Loan Mortgage Corporation, or the Government National Mortgage Association. Prime RMBS have underlying loans to customers with good quality credit profiles. Alt-A RMBS have overall credit quality between prime and subprime, based on a review of their underlying mortgage loans and factors such as credit scores and financial ratios.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sets forth the fair value of the Company’s investment in agency, prime, and Alt-A RMBS and the percentage of total invested assets they represent:</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gridSpan w:val="5"/>
          </w:tcPr>
          <w:p>
            <w:pPr>
              <w:jc w:val="right"/>
              <w:ind w:right="1300"/>
              <w:spacing w:after="0"/>
              <w:rPr>
                <w:sz w:val="20"/>
                <w:szCs w:val="20"/>
                <w:color w:val="auto"/>
              </w:rPr>
            </w:pPr>
            <w:r>
              <w:rPr>
                <w:rFonts w:ascii="Arial" w:cs="Arial" w:eastAsia="Arial" w:hAnsi="Arial"/>
                <w:sz w:val="14"/>
                <w:szCs w:val="14"/>
                <w:b w:val="1"/>
                <w:bCs w:val="1"/>
                <w:color w:val="auto"/>
              </w:rPr>
              <w:t>As of December 31, 2012</w:t>
            </w:r>
          </w:p>
        </w:tc>
        <w:tc>
          <w:tcPr>
            <w:tcW w:w="25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As of December 31, 2011</w:t>
            </w:r>
          </w:p>
        </w:tc>
        <w:tc>
          <w:tcPr>
            <w:tcW w:w="0" w:type="dxa"/>
            <w:vAlign w:val="bottom"/>
          </w:tcPr>
          <w:p>
            <w:pPr>
              <w:spacing w:after="0"/>
              <w:rPr>
                <w:sz w:val="1"/>
                <w:szCs w:val="1"/>
                <w:color w:val="auto"/>
              </w:rPr>
            </w:pPr>
          </w:p>
        </w:tc>
      </w:tr>
      <w:tr>
        <w:trPr>
          <w:trHeight w:val="129"/>
        </w:trPr>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Borders>
              <w:top w:val="single" w:sz="8" w:color="auto"/>
            </w:tcBorders>
            <w:gridSpan w:val="3"/>
          </w:tcPr>
          <w:p>
            <w:pPr>
              <w:ind w:left="160"/>
              <w:spacing w:after="0" w:line="129" w:lineRule="exact"/>
              <w:rPr>
                <w:sz w:val="20"/>
                <w:szCs w:val="20"/>
                <w:color w:val="auto"/>
              </w:rPr>
            </w:pPr>
            <w:r>
              <w:rPr>
                <w:rFonts w:ascii="Arial" w:cs="Arial" w:eastAsia="Arial" w:hAnsi="Arial"/>
                <w:sz w:val="14"/>
                <w:szCs w:val="14"/>
                <w:b w:val="1"/>
                <w:bCs w:val="1"/>
                <w:color w:val="auto"/>
              </w:rPr>
              <w:t>Fair</w:t>
            </w:r>
          </w:p>
        </w:tc>
        <w:tc>
          <w:tcPr>
            <w:tcW w:w="880" w:type="dxa"/>
            <w:vAlign w:val="bottom"/>
            <w:tcBorders>
              <w:top w:val="single" w:sz="8" w:color="auto"/>
            </w:tcBorders>
          </w:tcPr>
          <w:p>
            <w:pPr>
              <w:jc w:val="right"/>
              <w:ind w:right="58"/>
              <w:spacing w:after="0" w:line="129" w:lineRule="exact"/>
              <w:rPr>
                <w:sz w:val="20"/>
                <w:szCs w:val="20"/>
                <w:color w:val="auto"/>
              </w:rPr>
            </w:pPr>
            <w:r>
              <w:rPr>
                <w:rFonts w:ascii="Arial" w:cs="Arial" w:eastAsia="Arial" w:hAnsi="Arial"/>
                <w:sz w:val="14"/>
                <w:szCs w:val="14"/>
                <w:b w:val="1"/>
                <w:bCs w:val="1"/>
                <w:color w:val="auto"/>
              </w:rPr>
              <w:t>% of Total</w:t>
            </w:r>
          </w:p>
        </w:tc>
        <w:tc>
          <w:tcPr>
            <w:tcW w:w="860" w:type="dxa"/>
            <w:vAlign w:val="bottom"/>
          </w:tcPr>
          <w:p>
            <w:pPr>
              <w:spacing w:after="0"/>
              <w:rPr>
                <w:sz w:val="11"/>
                <w:szCs w:val="11"/>
                <w:color w:val="auto"/>
              </w:rPr>
            </w:pPr>
          </w:p>
        </w:tc>
        <w:tc>
          <w:tcPr>
            <w:tcW w:w="1420" w:type="dxa"/>
            <w:vAlign w:val="bottom"/>
            <w:tcBorders>
              <w:top w:val="single" w:sz="8" w:color="auto"/>
            </w:tcBorders>
            <w:gridSpan w:val="2"/>
          </w:tcPr>
          <w:p>
            <w:pPr>
              <w:jc w:val="right"/>
              <w:ind w:right="980"/>
              <w:spacing w:after="0" w:line="129" w:lineRule="exact"/>
              <w:rPr>
                <w:sz w:val="20"/>
                <w:szCs w:val="20"/>
                <w:color w:val="auto"/>
              </w:rPr>
            </w:pPr>
            <w:r>
              <w:rPr>
                <w:rFonts w:ascii="Arial" w:cs="Arial" w:eastAsia="Arial" w:hAnsi="Arial"/>
                <w:sz w:val="14"/>
                <w:szCs w:val="14"/>
                <w:b w:val="1"/>
                <w:bCs w:val="1"/>
                <w:color w:val="auto"/>
              </w:rPr>
              <w:t>Fair</w:t>
            </w:r>
          </w:p>
        </w:tc>
        <w:tc>
          <w:tcPr>
            <w:tcW w:w="880" w:type="dxa"/>
            <w:vAlign w:val="bottom"/>
            <w:tcBorders>
              <w:top w:val="single" w:sz="8" w:color="auto"/>
            </w:tcBorders>
          </w:tcPr>
          <w:p>
            <w:pPr>
              <w:jc w:val="right"/>
              <w:ind w:right="58"/>
              <w:spacing w:after="0" w:line="129" w:lineRule="exact"/>
              <w:rPr>
                <w:sz w:val="20"/>
                <w:szCs w:val="20"/>
                <w:color w:val="auto"/>
              </w:rPr>
            </w:pPr>
            <w:r>
              <w:rPr>
                <w:rFonts w:ascii="Arial" w:cs="Arial" w:eastAsia="Arial" w:hAnsi="Arial"/>
                <w:sz w:val="14"/>
                <w:szCs w:val="14"/>
                <w:b w:val="1"/>
                <w:bCs w:val="1"/>
                <w:color w:val="auto"/>
              </w:rPr>
              <w:t>% of Total</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Value</w:t>
            </w:r>
          </w:p>
        </w:tc>
        <w:tc>
          <w:tcPr>
            <w:tcW w:w="800" w:type="dxa"/>
            <w:vAlign w:val="bottom"/>
            <w:tcBorders>
              <w:bottom w:val="single" w:sz="8" w:color="CCEEFF"/>
            </w:tcBorders>
            <w:gridSpan w:val="2"/>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Invested Assets</w:t>
            </w:r>
          </w:p>
        </w:tc>
        <w:tc>
          <w:tcPr>
            <w:tcW w:w="8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Value</w:t>
            </w:r>
          </w:p>
        </w:tc>
        <w:tc>
          <w:tcPr>
            <w:tcW w:w="8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Invested Assets</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Agency</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$2,688.3</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$3,262.8</w:t>
            </w:r>
          </w:p>
        </w:tc>
        <w:tc>
          <w:tcPr>
            <w:tcW w:w="8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Non-agency:</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Prime</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237.7</w:t>
            </w:r>
          </w:p>
        </w:tc>
        <w:tc>
          <w:tcPr>
            <w:tcW w:w="7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0.9</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272.8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880"/>
              <w:spacing w:after="0"/>
              <w:rPr>
                <w:sz w:val="20"/>
                <w:szCs w:val="20"/>
                <w:color w:val="auto"/>
              </w:rPr>
            </w:pPr>
            <w:r>
              <w:rPr>
                <w:rFonts w:ascii="Arial" w:cs="Arial" w:eastAsia="Arial" w:hAnsi="Arial"/>
                <w:sz w:val="18"/>
                <w:szCs w:val="18"/>
                <w:color w:val="auto"/>
              </w:rPr>
              <w:t>Alt-A</w:t>
            </w: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81.8</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860" w:type="dxa"/>
            <w:vAlign w:val="bottom"/>
          </w:tcPr>
          <w:p>
            <w:pPr>
              <w:spacing w:after="0"/>
              <w:rPr>
                <w:sz w:val="18"/>
                <w:szCs w:val="18"/>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89.4</w:t>
            </w: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Subtotal non-agency</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362.2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40" w:type="dxa"/>
            <w:vAlign w:val="bottom"/>
            <w:vMerge w:val="continue"/>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3,007.8</w:t>
            </w:r>
          </w:p>
        </w:tc>
        <w:tc>
          <w:tcPr>
            <w:tcW w:w="780" w:type="dxa"/>
            <w:vAlign w:val="bottom"/>
          </w:tcPr>
          <w:p>
            <w:pPr>
              <w:spacing w:after="0"/>
              <w:rPr>
                <w:sz w:val="19"/>
                <w:szCs w:val="19"/>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8"/>
                <w:szCs w:val="18"/>
                <w:color w:val="auto"/>
              </w:rPr>
              <w:t>11.0%</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3,625.0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following table sets forth the total fair value and amortized cost of our non-agency RMBS by year of origination (vintage) and credit quality, based on the highest rating by Moody’s, S&amp;P, or Fitch. There were two securities with a total amortized cost and fair value of $21.2 and $21.1, respectively, that were rated below investment grade by either Moody’s, S&amp;P or Fitch, while at least one other agency rated them investment grade.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w w:val="84"/>
              </w:rPr>
              <w:t>As of December 31, 2012</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8"/>
          </w:tcPr>
          <w:p>
            <w:pPr>
              <w:jc w:val="right"/>
              <w:ind w:right="252"/>
              <w:spacing w:after="0" w:line="142" w:lineRule="exact"/>
              <w:rPr>
                <w:sz w:val="20"/>
                <w:szCs w:val="20"/>
                <w:color w:val="auto"/>
              </w:rPr>
            </w:pPr>
            <w:r>
              <w:rPr>
                <w:rFonts w:ascii="Arial" w:cs="Arial" w:eastAsia="Arial" w:hAnsi="Arial"/>
                <w:sz w:val="14"/>
                <w:szCs w:val="14"/>
                <w:b w:val="1"/>
                <w:bCs w:val="1"/>
                <w:color w:val="auto"/>
                <w:w w:val="87"/>
              </w:rPr>
              <w:t>Highest Rating Agency Rating</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5"/>
              </w:rPr>
              <w:t>Total as of</w:t>
            </w: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BB and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40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AAA</w:t>
            </w:r>
          </w:p>
        </w:tc>
        <w:tc>
          <w:tcPr>
            <w:tcW w:w="260" w:type="dxa"/>
            <w:vAlign w:val="bottom"/>
          </w:tcPr>
          <w:p>
            <w:pPr>
              <w:spacing w:after="0"/>
              <w:rPr>
                <w:sz w:val="14"/>
                <w:szCs w:val="14"/>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rPr>
              <w:t>AA</w:t>
            </w:r>
          </w:p>
        </w:tc>
        <w:tc>
          <w:tcPr>
            <w:tcW w:w="260" w:type="dxa"/>
            <w:vAlign w:val="bottom"/>
          </w:tcPr>
          <w:p>
            <w:pPr>
              <w:spacing w:after="0"/>
              <w:rPr>
                <w:sz w:val="14"/>
                <w:szCs w:val="14"/>
                <w:color w:val="auto"/>
              </w:rPr>
            </w:pPr>
          </w:p>
        </w:tc>
        <w:tc>
          <w:tcPr>
            <w:tcW w:w="540" w:type="dxa"/>
            <w:vAlign w:val="bottom"/>
            <w:gridSpan w:val="2"/>
          </w:tcPr>
          <w:p>
            <w:pPr>
              <w:ind w:left="160"/>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BBB</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Below</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Total</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Vintage:</w:t>
            </w:r>
          </w:p>
        </w:tc>
        <w:tc>
          <w:tcPr>
            <w:tcW w:w="2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440"/>
              <w:spacing w:after="0"/>
              <w:rPr>
                <w:sz w:val="20"/>
                <w:szCs w:val="20"/>
                <w:color w:val="auto"/>
              </w:rPr>
            </w:pPr>
            <w:r>
              <w:rPr>
                <w:rFonts w:ascii="Arial" w:cs="Arial" w:eastAsia="Arial" w:hAnsi="Arial"/>
                <w:sz w:val="18"/>
                <w:szCs w:val="18"/>
                <w:color w:val="auto"/>
              </w:rPr>
              <w:t>2007</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8"/>
                <w:szCs w:val="18"/>
                <w:color w:val="auto"/>
              </w:rPr>
            </w:pPr>
          </w:p>
        </w:tc>
        <w:tc>
          <w:tcPr>
            <w:tcW w:w="420" w:type="dxa"/>
            <w:vAlign w:val="bottom"/>
          </w:tcPr>
          <w:p>
            <w:pPr>
              <w:jc w:val="right"/>
              <w:ind w:right="16"/>
              <w:spacing w:after="0"/>
              <w:rPr>
                <w:sz w:val="20"/>
                <w:szCs w:val="20"/>
                <w:color w:val="auto"/>
              </w:rPr>
            </w:pPr>
            <w:r>
              <w:rPr>
                <w:rFonts w:ascii="Arial" w:cs="Arial" w:eastAsia="Arial" w:hAnsi="Arial"/>
                <w:sz w:val="18"/>
                <w:szCs w:val="18"/>
                <w:color w:val="auto"/>
                <w:w w:val="90"/>
              </w:rPr>
              <w:t>$ —</w:t>
            </w:r>
          </w:p>
        </w:tc>
        <w:tc>
          <w:tcPr>
            <w:tcW w:w="26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 —</w:t>
            </w: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16.6</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2006</w:t>
            </w:r>
          </w:p>
        </w:tc>
        <w:tc>
          <w:tcPr>
            <w:tcW w:w="2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4040" w:type="dxa"/>
            <w:vAlign w:val="bottom"/>
          </w:tcPr>
          <w:p>
            <w:pPr>
              <w:ind w:left="440"/>
              <w:spacing w:after="0"/>
              <w:rPr>
                <w:sz w:val="20"/>
                <w:szCs w:val="20"/>
                <w:color w:val="auto"/>
              </w:rPr>
            </w:pPr>
            <w:r>
              <w:rPr>
                <w:rFonts w:ascii="Arial" w:cs="Arial" w:eastAsia="Arial" w:hAnsi="Arial"/>
                <w:sz w:val="18"/>
                <w:szCs w:val="18"/>
                <w:color w:val="auto"/>
              </w:rPr>
              <w:t>2005</w:t>
            </w:r>
          </w:p>
        </w:tc>
        <w:tc>
          <w:tcPr>
            <w:tcW w:w="2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2004 and prior</w:t>
            </w:r>
          </w:p>
        </w:tc>
        <w:tc>
          <w:tcPr>
            <w:tcW w:w="2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124.3</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Total amortized cost</w:t>
            </w:r>
          </w:p>
        </w:tc>
        <w:tc>
          <w:tcPr>
            <w:tcW w:w="2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22.9</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44.1</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192.5</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306.5</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8"/>
        </w:trPr>
        <w:tc>
          <w:tcPr>
            <w:tcW w:w="4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unrealized gains (losses)</w:t>
            </w:r>
          </w:p>
        </w:tc>
        <w:tc>
          <w:tcPr>
            <w:tcW w:w="2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Total fair value</w:t>
            </w:r>
          </w:p>
        </w:tc>
        <w:tc>
          <w:tcPr>
            <w:tcW w:w="2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40" w:type="dxa"/>
            <w:vAlign w:val="bottom"/>
            <w:vMerge w:val="continue"/>
          </w:tcPr>
          <w:p>
            <w:pPr>
              <w:spacing w:after="0"/>
              <w:rPr>
                <w:sz w:val="19"/>
                <w:szCs w:val="19"/>
                <w:color w:val="auto"/>
              </w:rPr>
            </w:pPr>
          </w:p>
        </w:tc>
        <w:tc>
          <w:tcPr>
            <w:tcW w:w="2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23.6</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38.3</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44.9</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201.8</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319.5</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240" w:type="dxa"/>
            <w:vAlign w:val="bottom"/>
            <w:vMerge w:val="restart"/>
          </w:tcPr>
          <w:p>
            <w:pPr>
              <w:jc w:val="right"/>
              <w:ind w:right="392"/>
              <w:spacing w:after="0"/>
              <w:rPr>
                <w:sz w:val="20"/>
                <w:szCs w:val="20"/>
                <w:color w:val="auto"/>
              </w:rPr>
            </w:pPr>
            <w:r>
              <w:rPr>
                <w:rFonts w:ascii="Arial" w:cs="Arial" w:eastAsia="Arial" w:hAnsi="Arial"/>
                <w:sz w:val="18"/>
                <w:szCs w:val="18"/>
                <w:color w:val="auto"/>
              </w:rPr>
              <w:t>92</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a fair value basis as of December 31, 2012, our Alt-A portfolio was 90.0% fixed rate collateral and 10.0% hybrid adjustable rate mortgages (ARMs) with no exposure to option ARMs. Generally, fixed rate mortgages have had better credit performance than ARMs, with lower delinquencies and defaults on the underlying collateral.</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December 31, 2012, our Alt-A, prime and total non-agency RMBS had an estimated weighted-average credit enhancement of 13.2%, 6.8% and 8.5%, respectively. Credit enhancement refers to the weighted-average percentage of the outstanding capital structure that is subordinate in the priority of cash flows and absorbs losses first. We believe that our credit enhancement will help mitigate losses on these securities.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December 31, 2012 and 2011, 63.4% and 59.9%, respectively, of the fair value of our non-agency RMBS had super senior subordination. The super senior class has priority over all principal and interest cash flows and will not experience any loss of principal until lower levels are written down to zero. Therefore, the majority of our RMBS investments have less exposure to defaults and delinquencies in the underlying collateral than if we held the more subordinated classes.</w:t>
      </w:r>
    </w:p>
    <w:p>
      <w:pPr>
        <w:spacing w:after="0" w:line="14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As of December 31, 2012, our RMBS had gross unamortized premiums and discounts of $53.4 and $62.3, respectively. Changes in prepayment speeds, which are based on prepayment activity of the underlying mortgages, create volatility in our net investment income because they accelerate or decelerate our amortization of the unamortized premiums and discounts. The impact to net investment income is dependent on whether the securities are at a discount or premium and whether the prepayment speeds increase or decrease.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additional information on our RMBS prepayment exposure, by type and vintage: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Prepayment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0"/>
              </w:rPr>
              <w:t>Speed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6"/>
          </w:tcPr>
          <w:p>
            <w:pPr>
              <w:ind w:left="20"/>
              <w:spacing w:after="0"/>
              <w:rPr>
                <w:sz w:val="20"/>
                <w:szCs w:val="20"/>
                <w:color w:val="auto"/>
              </w:rPr>
            </w:pPr>
            <w:r>
              <w:rPr>
                <w:rFonts w:ascii="Arial" w:cs="Arial" w:eastAsia="Arial" w:hAnsi="Arial"/>
                <w:sz w:val="14"/>
                <w:szCs w:val="14"/>
                <w:b w:val="1"/>
                <w:bCs w:val="1"/>
                <w:color w:val="auto"/>
              </w:rPr>
              <w:t>As of December 31, 2012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Adjustment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Twelve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2"/>
                <w:szCs w:val="12"/>
                <w:color w:val="auto"/>
              </w:rPr>
            </w:pPr>
          </w:p>
        </w:tc>
        <w:tc>
          <w:tcPr>
            <w:tcW w:w="52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w w:val="88"/>
              </w:rPr>
              <w:t>Gains/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7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74"/>
              </w:rPr>
              <w:t>Gross</w:t>
            </w:r>
          </w:p>
        </w:tc>
        <w:tc>
          <w:tcPr>
            <w:tcW w:w="100" w:type="dxa"/>
            <w:vAlign w:val="bottom"/>
          </w:tcPr>
          <w:p>
            <w:pPr>
              <w:spacing w:after="0"/>
              <w:rPr>
                <w:sz w:val="12"/>
                <w:szCs w:val="12"/>
                <w:color w:val="auto"/>
              </w:rPr>
            </w:pPr>
          </w:p>
        </w:tc>
        <w:tc>
          <w:tcPr>
            <w:tcW w:w="8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78"/>
              </w:rPr>
              <w:t>Gross</w:t>
            </w: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Mortgage</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(Losses)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Value</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Discount</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Premium</w:t>
            </w: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Loan Rate</w:t>
            </w:r>
          </w:p>
        </w:tc>
        <w:tc>
          <w:tcPr>
            <w:tcW w:w="100" w:type="dxa"/>
            <w:vAlign w:val="bottom"/>
          </w:tcPr>
          <w:p>
            <w:pPr>
              <w:spacing w:after="0"/>
              <w:rPr>
                <w:sz w:val="14"/>
                <w:szCs w:val="14"/>
                <w:color w:val="auto"/>
              </w:rPr>
            </w:pPr>
          </w:p>
        </w:tc>
        <w:tc>
          <w:tcPr>
            <w:tcW w:w="80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Agency:</w:t>
            </w: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i w:val="1"/>
                <w:iCs w:val="1"/>
                <w:color w:val="auto"/>
              </w:rPr>
              <w:t>CMO:</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86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278.8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514.8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86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194.9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86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86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2004 and prior</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522.2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Total Agency CMO</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1,562.2</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189.6</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1,751.8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(19.4)</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Passthrough:</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86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62.7</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86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178.0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(7.0)</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534.9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(20.6)</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86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(0.6)</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86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2005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860"/>
              <w:spacing w:after="0"/>
              <w:rPr>
                <w:sz w:val="20"/>
                <w:szCs w:val="20"/>
                <w:color w:val="auto"/>
              </w:rPr>
            </w:pPr>
            <w:r>
              <w:rPr>
                <w:rFonts w:ascii="Arial" w:cs="Arial" w:eastAsia="Arial" w:hAnsi="Arial"/>
                <w:sz w:val="18"/>
                <w:szCs w:val="18"/>
                <w:color w:val="auto"/>
              </w:rPr>
              <w:t>2004 and prior</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Agency Passthrough</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(33.5)</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Total Agency RMBS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2,449.0</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239.3</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2,688.3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(52.9)</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Non-Agency: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2008-2012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2004 and prior</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124.3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Non-Agency RMBS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Total RMBS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gridSpan w:val="2"/>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2,755.5</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252.3</w:t>
            </w:r>
          </w:p>
        </w:tc>
        <w:tc>
          <w:tcPr>
            <w:tcW w:w="440" w:type="dxa"/>
            <w:vAlign w:val="bottom"/>
            <w:gridSpan w:val="2"/>
          </w:tcPr>
          <w:p>
            <w:pPr>
              <w:ind w:left="340"/>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3,007.8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(53.4)</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There are various U.S. government initiatives through the Making Home Affordable program that may result in higher than expected prepayments on our RMBS portfolio. For example, changes to HARP (Home Affordable Refinance Program) that went into effect in late 2011, have been effective in increasing refinancing for certain borrowers. Additionally, the extension of HAMP (Home Affordable Modification Program) through 2013 may impact prepayments.</w:t>
      </w:r>
    </w:p>
    <w:p>
      <w:pPr>
        <w:spacing w:after="0" w:line="10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During the year ended December 31, 2012, we strategically sold $382.7 of lower yielding, higher premium agency RMBS securities for gains totaling $21.3 while reducing future reinvestment risk. We continually monitor the underlying collateral in our RMBS to manage our prepayment exposure.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Commercial Mortgage-Backed Securities (CMBS)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fair value of our investment in CMBS and the percentage of total invested assets they represent: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4"/>
          </w:tcPr>
          <w:p>
            <w:pPr>
              <w:ind w:left="340"/>
              <w:spacing w:after="0"/>
              <w:rPr>
                <w:sz w:val="20"/>
                <w:szCs w:val="20"/>
                <w:color w:val="auto"/>
              </w:rPr>
            </w:pPr>
            <w:r>
              <w:rPr>
                <w:rFonts w:ascii="Arial" w:cs="Arial" w:eastAsia="Arial" w:hAnsi="Arial"/>
                <w:sz w:val="14"/>
                <w:szCs w:val="14"/>
                <w:b w:val="1"/>
                <w:bCs w:val="1"/>
                <w:color w:val="auto"/>
              </w:rPr>
              <w:t>As of December 31, 2012</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4"/>
          </w:tcPr>
          <w:p>
            <w:pPr>
              <w:ind w:left="360"/>
              <w:spacing w:after="0"/>
              <w:rPr>
                <w:sz w:val="20"/>
                <w:szCs w:val="20"/>
                <w:color w:val="auto"/>
              </w:rPr>
            </w:pPr>
            <w:r>
              <w:rPr>
                <w:rFonts w:ascii="Arial" w:cs="Arial" w:eastAsia="Arial" w:hAnsi="Arial"/>
                <w:sz w:val="14"/>
                <w:szCs w:val="14"/>
                <w:b w:val="1"/>
                <w:bCs w:val="1"/>
                <w:color w:val="auto"/>
              </w:rPr>
              <w:t>As of December 31,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02"/>
              <w:spacing w:after="0" w:line="129" w:lineRule="exact"/>
              <w:rPr>
                <w:sz w:val="20"/>
                <w:szCs w:val="20"/>
                <w:color w:val="auto"/>
              </w:rPr>
            </w:pPr>
            <w:r>
              <w:rPr>
                <w:rFonts w:ascii="Arial" w:cs="Arial" w:eastAsia="Arial" w:hAnsi="Arial"/>
                <w:sz w:val="14"/>
                <w:szCs w:val="14"/>
                <w:b w:val="1"/>
                <w:bCs w:val="1"/>
                <w:color w:val="auto"/>
              </w:rPr>
              <w:t>Fair</w:t>
            </w:r>
          </w:p>
        </w:tc>
        <w:tc>
          <w:tcPr>
            <w:tcW w:w="7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 of Total</w:t>
            </w: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02"/>
              <w:spacing w:after="0" w:line="129" w:lineRule="exact"/>
              <w:rPr>
                <w:sz w:val="20"/>
                <w:szCs w:val="20"/>
                <w:color w:val="auto"/>
              </w:rPr>
            </w:pPr>
            <w:r>
              <w:rPr>
                <w:rFonts w:ascii="Arial" w:cs="Arial" w:eastAsia="Arial" w:hAnsi="Arial"/>
                <w:sz w:val="14"/>
                <w:szCs w:val="14"/>
                <w:b w:val="1"/>
                <w:bCs w:val="1"/>
                <w:color w:val="auto"/>
              </w:rPr>
              <w:t>Fair</w:t>
            </w:r>
          </w:p>
        </w:tc>
        <w:tc>
          <w:tcPr>
            <w:tcW w:w="7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 of Total</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62"/>
              <w:spacing w:after="0"/>
              <w:rPr>
                <w:sz w:val="20"/>
                <w:szCs w:val="20"/>
                <w:color w:val="auto"/>
              </w:rPr>
            </w:pPr>
            <w:r>
              <w:rPr>
                <w:rFonts w:ascii="Arial" w:cs="Arial" w:eastAsia="Arial" w:hAnsi="Arial"/>
                <w:sz w:val="14"/>
                <w:szCs w:val="14"/>
                <w:b w:val="1"/>
                <w:bCs w:val="1"/>
                <w:color w:val="auto"/>
                <w:w w:val="96"/>
              </w:rPr>
              <w:t>Value</w:t>
            </w:r>
          </w:p>
        </w:tc>
        <w:tc>
          <w:tcPr>
            <w:tcW w:w="78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2"/>
              </w:rPr>
              <w:t>Invested Assets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82"/>
              <w:spacing w:after="0"/>
              <w:rPr>
                <w:sz w:val="20"/>
                <w:szCs w:val="20"/>
                <w:color w:val="auto"/>
              </w:rPr>
            </w:pPr>
            <w:r>
              <w:rPr>
                <w:rFonts w:ascii="Arial" w:cs="Arial" w:eastAsia="Arial" w:hAnsi="Arial"/>
                <w:sz w:val="14"/>
                <w:szCs w:val="14"/>
                <w:b w:val="1"/>
                <w:bCs w:val="1"/>
                <w:color w:val="auto"/>
                <w:w w:val="96"/>
              </w:rPr>
              <w:t>Value</w:t>
            </w:r>
          </w:p>
        </w:tc>
        <w:tc>
          <w:tcPr>
            <w:tcW w:w="7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Invested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rPr>
              <w:t>Agency</w:t>
            </w:r>
          </w:p>
        </w:tc>
        <w:tc>
          <w:tcPr>
            <w:tcW w:w="17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vMerge w:val="continue"/>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78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1.4%</w:t>
            </w: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78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7"/>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420"/>
              <w:spacing w:after="0"/>
              <w:rPr>
                <w:sz w:val="20"/>
                <w:szCs w:val="20"/>
                <w:color w:val="auto"/>
              </w:rPr>
            </w:pPr>
            <w:r>
              <w:rPr>
                <w:rFonts w:ascii="Arial" w:cs="Arial" w:eastAsia="Arial" w:hAnsi="Arial"/>
                <w:sz w:val="18"/>
                <w:szCs w:val="18"/>
                <w:color w:val="auto"/>
              </w:rPr>
              <w:t>Non-Agency</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1,330.4</w:t>
            </w:r>
          </w:p>
        </w:tc>
        <w:tc>
          <w:tcPr>
            <w:tcW w:w="780" w:type="dxa"/>
            <w:vAlign w:val="bottom"/>
          </w:tcPr>
          <w:p>
            <w:pPr>
              <w:spacing w:after="0"/>
              <w:rPr>
                <w:sz w:val="18"/>
                <w:szCs w:val="18"/>
                <w:color w:val="auto"/>
              </w:rPr>
            </w:pPr>
          </w:p>
        </w:tc>
        <w:tc>
          <w:tcPr>
            <w:tcW w:w="1380" w:type="dxa"/>
            <w:vAlign w:val="bottom"/>
            <w:gridSpan w:val="2"/>
          </w:tcPr>
          <w:p>
            <w:pPr>
              <w:ind w:left="660"/>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1,316.0</w:t>
            </w:r>
          </w:p>
        </w:tc>
        <w:tc>
          <w:tcPr>
            <w:tcW w:w="1660" w:type="dxa"/>
            <w:vAlign w:val="bottom"/>
            <w:gridSpan w:val="2"/>
          </w:tcPr>
          <w:p>
            <w:pPr>
              <w:ind w:left="1440"/>
              <w:spacing w:after="0"/>
              <w:rPr>
                <w:sz w:val="20"/>
                <w:szCs w:val="20"/>
                <w:color w:val="auto"/>
              </w:rPr>
            </w:pPr>
            <w:r>
              <w:rPr>
                <w:rFonts w:ascii="Arial" w:cs="Arial" w:eastAsia="Arial" w:hAnsi="Arial"/>
                <w:sz w:val="18"/>
                <w:szCs w:val="18"/>
                <w:color w:val="auto"/>
                <w:w w:val="79"/>
              </w:rPr>
              <w:t>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1,707.7</w:t>
            </w:r>
          </w:p>
        </w:tc>
        <w:tc>
          <w:tcPr>
            <w:tcW w:w="7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6.2%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1,837.0</w:t>
            </w:r>
          </w:p>
        </w:tc>
        <w:tc>
          <w:tcPr>
            <w:tcW w:w="1860" w:type="dxa"/>
            <w:vAlign w:val="bottom"/>
            <w:gridSpan w:val="3"/>
            <w:shd w:val="clear" w:color="auto" w:fill="CCEEFF"/>
          </w:tcPr>
          <w:p>
            <w:pPr>
              <w:ind w:left="1440"/>
              <w:spacing w:after="0"/>
              <w:rPr>
                <w:sz w:val="20"/>
                <w:szCs w:val="20"/>
                <w:color w:val="auto"/>
              </w:rPr>
            </w:pPr>
            <w:r>
              <w:rPr>
                <w:rFonts w:ascii="Arial" w:cs="Arial" w:eastAsia="Arial" w:hAnsi="Arial"/>
                <w:sz w:val="18"/>
                <w:szCs w:val="18"/>
                <w:color w:val="auto"/>
                <w:w w:val="97"/>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following table sets forth the total fair value, and amortized cost of our non-agency CMBS by credit quality and year of origination (vintage). There were 15 securities having a fair value of $337.4 and an amortized cost of $288.2 that were rated AAA by either S&amp;P, Moody’s or Fitch, that were given a lower rating by at least one other agency. None of these securities were rated below investment grade by any of the three agencies.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6"/>
              </w:rPr>
              <w:t>As of December 31, 2012</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9"/>
          </w:tcPr>
          <w:p>
            <w:pPr>
              <w:jc w:val="center"/>
              <w:ind w:left="297"/>
              <w:spacing w:after="0" w:line="142" w:lineRule="exact"/>
              <w:rPr>
                <w:sz w:val="20"/>
                <w:szCs w:val="20"/>
                <w:color w:val="auto"/>
              </w:rPr>
            </w:pPr>
            <w:r>
              <w:rPr>
                <w:rFonts w:ascii="Arial" w:cs="Arial" w:eastAsia="Arial" w:hAnsi="Arial"/>
                <w:sz w:val="14"/>
                <w:szCs w:val="14"/>
                <w:b w:val="1"/>
                <w:bCs w:val="1"/>
                <w:color w:val="auto"/>
                <w:w w:val="87"/>
              </w:rPr>
              <w:t>Highest Rating Agency Rating</w:t>
            </w: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5"/>
              </w:rPr>
              <w:t>Total as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BB and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AAA</w:t>
            </w:r>
          </w:p>
        </w:tc>
        <w:tc>
          <w:tcPr>
            <w:tcW w:w="140" w:type="dxa"/>
            <w:vAlign w:val="bottom"/>
          </w:tcPr>
          <w:p>
            <w:pPr>
              <w:spacing w:after="0"/>
              <w:rPr>
                <w:sz w:val="14"/>
                <w:szCs w:val="14"/>
                <w:color w:val="auto"/>
              </w:rPr>
            </w:pPr>
          </w:p>
        </w:tc>
        <w:tc>
          <w:tcPr>
            <w:tcW w:w="480" w:type="dxa"/>
            <w:vAlign w:val="bottom"/>
            <w:gridSpan w:val="2"/>
          </w:tcPr>
          <w:p>
            <w:pPr>
              <w:ind w:left="100"/>
              <w:spacing w:after="0"/>
              <w:rPr>
                <w:sz w:val="20"/>
                <w:szCs w:val="20"/>
                <w:color w:val="auto"/>
              </w:rPr>
            </w:pPr>
            <w:r>
              <w:rPr>
                <w:rFonts w:ascii="Arial" w:cs="Arial" w:eastAsia="Arial" w:hAnsi="Arial"/>
                <w:sz w:val="14"/>
                <w:szCs w:val="14"/>
                <w:b w:val="1"/>
                <w:bCs w:val="1"/>
                <w:color w:val="auto"/>
              </w:rPr>
              <w:t>AA</w:t>
            </w:r>
          </w:p>
        </w:tc>
        <w:tc>
          <w:tcPr>
            <w:tcW w:w="200" w:type="dxa"/>
            <w:vAlign w:val="bottom"/>
          </w:tcPr>
          <w:p>
            <w:pPr>
              <w:spacing w:after="0"/>
              <w:rPr>
                <w:sz w:val="14"/>
                <w:szCs w:val="14"/>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BBB</w:t>
            </w: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Below</w:t>
            </w:r>
          </w:p>
        </w:tc>
        <w:tc>
          <w:tcPr>
            <w:tcW w:w="14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80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2011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Vintage:</w:t>
            </w:r>
          </w:p>
        </w:tc>
        <w:tc>
          <w:tcPr>
            <w:tcW w:w="1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2012</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133.1</w:t>
            </w: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 —</w:t>
            </w:r>
          </w:p>
        </w:tc>
        <w:tc>
          <w:tcPr>
            <w:tcW w:w="780" w:type="dxa"/>
            <w:vAlign w:val="bottom"/>
            <w:gridSpan w:val="3"/>
          </w:tcPr>
          <w:p>
            <w:pPr>
              <w:jc w:val="right"/>
              <w:ind w:right="36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133.1</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2011</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118.7</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2010</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2009</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2008</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2007</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387.6</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2006</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159.2</w:t>
            </w:r>
          </w:p>
        </w:tc>
        <w:tc>
          <w:tcPr>
            <w:tcW w:w="1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w w:val="79"/>
              </w:rPr>
              <w:t>11.6</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170.8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2005</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219.3</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2004 and prior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77.1</w:t>
            </w:r>
          </w:p>
        </w:tc>
        <w:tc>
          <w:tcPr>
            <w:tcW w:w="1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amortized cost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1,146.1</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$ 18.8</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$ 1.7</w:t>
            </w:r>
          </w:p>
        </w:tc>
        <w:tc>
          <w:tcPr>
            <w:tcW w:w="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15.7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1,182.3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vMerge w:val="restart"/>
          </w:tcPr>
          <w:p>
            <w:pPr>
              <w:ind w:left="420"/>
              <w:spacing w:after="0"/>
              <w:rPr>
                <w:sz w:val="20"/>
                <w:szCs w:val="20"/>
                <w:color w:val="auto"/>
              </w:rPr>
            </w:pPr>
            <w:r>
              <w:rPr>
                <w:rFonts w:ascii="Arial" w:cs="Arial" w:eastAsia="Arial" w:hAnsi="Arial"/>
                <w:sz w:val="18"/>
                <w:szCs w:val="18"/>
                <w:color w:val="auto"/>
              </w:rPr>
              <w:t>Net unrealized gains (losses)</w:t>
            </w: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vMerge w:val="continue"/>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143.0</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4.3</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148.1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1,289.1</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$ 23.1</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$ 1.8</w:t>
            </w:r>
          </w:p>
        </w:tc>
        <w:tc>
          <w:tcPr>
            <w:tcW w:w="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16.4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1,330.4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As of December 31, 2012, our CMBS portfolio was highly concentrated in the most senior tranches, with 97.2% of our AAA-rated securities in the most senior tranche, based on amortized cost, and had significant credit enhancement. The senior class has priority over the mezzanine and junior classes to all principal and interest cash flows and will not experience any loss of principal until both the entire mezzanine and junior tranches are written down to zero.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the amortized cost of our AAA non-agency CMBS by type and vintage: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As of December 31, 2012</w:t>
            </w: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Super Senior</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Other Structures</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38"/>
              <w:spacing w:after="0" w:line="129"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2"/>
              </w:rPr>
              <w:t>AAA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8"/>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Super</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Amortized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6"/>
              </w:rPr>
              <w:t>Senior</w:t>
            </w:r>
          </w:p>
        </w:tc>
        <w:tc>
          <w:tcPr>
            <w:tcW w:w="3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Mezzanine</w:t>
            </w:r>
          </w:p>
        </w:tc>
        <w:tc>
          <w:tcPr>
            <w:tcW w:w="1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8"/>
              </w:rPr>
              <w:t>Junior</w:t>
            </w:r>
          </w:p>
        </w:tc>
        <w:tc>
          <w:tcPr>
            <w:tcW w:w="38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Senior</w:t>
            </w:r>
          </w:p>
        </w:tc>
        <w:tc>
          <w:tcPr>
            <w:tcW w:w="3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Subordinate</w:t>
            </w: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0"/>
              </w:rPr>
              <w:t>Other</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Cost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Vintage:</w:t>
            </w: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2012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$120.9</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$ 10.2</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$ 2.0</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2011</w:t>
            </w: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118.7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2010</w:t>
            </w:r>
          </w:p>
        </w:tc>
        <w:tc>
          <w:tcPr>
            <w:tcW w:w="5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2009</w:t>
            </w: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2008</w:t>
            </w:r>
          </w:p>
        </w:tc>
        <w:tc>
          <w:tcPr>
            <w:tcW w:w="500" w:type="dxa"/>
            <w:vAlign w:val="bottom"/>
          </w:tcPr>
          <w:p>
            <w:pPr>
              <w:jc w:val="right"/>
              <w:spacing w:after="0"/>
              <w:rPr>
                <w:sz w:val="20"/>
                <w:szCs w:val="20"/>
                <w:color w:val="auto"/>
              </w:rPr>
            </w:pPr>
            <w:r>
              <w:rPr>
                <w:rFonts w:ascii="Arial" w:cs="Arial" w:eastAsia="Arial" w:hAnsi="Arial"/>
                <w:sz w:val="18"/>
                <w:szCs w:val="18"/>
                <w:color w:val="auto"/>
              </w:rPr>
              <w:t>50.0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2006</w:t>
            </w:r>
          </w:p>
        </w:tc>
        <w:tc>
          <w:tcPr>
            <w:tcW w:w="500" w:type="dxa"/>
            <w:vAlign w:val="bottom"/>
          </w:tcPr>
          <w:p>
            <w:pPr>
              <w:jc w:val="right"/>
              <w:spacing w:after="0"/>
              <w:rPr>
                <w:sz w:val="20"/>
                <w:szCs w:val="20"/>
                <w:color w:val="auto"/>
              </w:rPr>
            </w:pPr>
            <w:r>
              <w:rPr>
                <w:rFonts w:ascii="Arial" w:cs="Arial" w:eastAsia="Arial" w:hAnsi="Arial"/>
                <w:sz w:val="18"/>
                <w:szCs w:val="18"/>
                <w:color w:val="auto"/>
              </w:rPr>
              <w:t>159.2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5"/>
              </w:rPr>
              <w:t>23.6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2004 and prior</w:t>
            </w: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841.7</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5"/>
              </w:rPr>
              <w:t>23.6</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272.2</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4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As of December 31, 2011</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760.4</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5"/>
              </w:rPr>
              <w:t>27.1</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347.0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60" w:firstLine="456"/>
        <w:spacing w:after="0" w:line="259" w:lineRule="auto"/>
        <w:rPr>
          <w:sz w:val="20"/>
          <w:szCs w:val="20"/>
          <w:color w:val="auto"/>
        </w:rPr>
      </w:pPr>
      <w:r>
        <w:rPr>
          <w:rFonts w:ascii="Arial" w:cs="Arial" w:eastAsia="Arial" w:hAnsi="Arial"/>
          <w:sz w:val="18"/>
          <w:szCs w:val="18"/>
          <w:color w:val="auto"/>
        </w:rPr>
        <w:t>The weighted-average credit enhancement of our CMBS, adjusted to remove defeased loans, as of December 31, 2012 was 30.6%. We believe this additional credit enhancement is significant, especially in the event of a deep real estate downturn during which losses would be expected to increase substantially.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additional information on our CMBS prepayment exposure by type and vintage: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Prepayment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0"/>
              </w:rPr>
              <w:t>Speed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60" w:type="dxa"/>
            <w:vAlign w:val="bottom"/>
            <w:gridSpan w:val="7"/>
          </w:tcPr>
          <w:p>
            <w:pPr>
              <w:ind w:left="340"/>
              <w:spacing w:after="0"/>
              <w:rPr>
                <w:sz w:val="20"/>
                <w:szCs w:val="20"/>
                <w:color w:val="auto"/>
              </w:rPr>
            </w:pPr>
            <w:r>
              <w:rPr>
                <w:rFonts w:ascii="Arial" w:cs="Arial" w:eastAsia="Arial" w:hAnsi="Arial"/>
                <w:sz w:val="14"/>
                <w:szCs w:val="14"/>
                <w:b w:val="1"/>
                <w:bCs w:val="1"/>
                <w:color w:val="auto"/>
              </w:rPr>
              <w:t>As of December 31, 2012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Adjustment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Twelve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2"/>
                <w:szCs w:val="12"/>
                <w:color w:val="auto"/>
              </w:rPr>
            </w:pPr>
          </w:p>
        </w:tc>
        <w:tc>
          <w:tcPr>
            <w:tcW w:w="52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w w:val="88"/>
              </w:rPr>
              <w:t>Gains/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7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74"/>
              </w:rPr>
              <w:t>Gross</w:t>
            </w:r>
          </w:p>
        </w:tc>
        <w:tc>
          <w:tcPr>
            <w:tcW w:w="100" w:type="dxa"/>
            <w:vAlign w:val="bottom"/>
          </w:tcPr>
          <w:p>
            <w:pPr>
              <w:spacing w:after="0"/>
              <w:rPr>
                <w:sz w:val="12"/>
                <w:szCs w:val="12"/>
                <w:color w:val="auto"/>
              </w:rPr>
            </w:pPr>
          </w:p>
        </w:tc>
        <w:tc>
          <w:tcPr>
            <w:tcW w:w="8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78"/>
              </w:rPr>
              <w:t>Gross</w:t>
            </w: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Mortgage</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Cost</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(Losses)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Value</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Discount</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Premium</w:t>
            </w: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Loan Rate</w:t>
            </w:r>
          </w:p>
        </w:tc>
        <w:tc>
          <w:tcPr>
            <w:tcW w:w="100" w:type="dxa"/>
            <w:vAlign w:val="bottom"/>
          </w:tcPr>
          <w:p>
            <w:pPr>
              <w:spacing w:after="0"/>
              <w:rPr>
                <w:sz w:val="14"/>
                <w:szCs w:val="14"/>
                <w:color w:val="auto"/>
              </w:rPr>
            </w:pPr>
          </w:p>
        </w:tc>
        <w:tc>
          <w:tcPr>
            <w:tcW w:w="80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Agency:</w:t>
            </w:r>
          </w:p>
        </w:tc>
        <w:tc>
          <w:tcPr>
            <w:tcW w:w="1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420"/>
              <w:spacing w:after="0"/>
              <w:rPr>
                <w:sz w:val="20"/>
                <w:szCs w:val="20"/>
                <w:color w:val="auto"/>
              </w:rPr>
            </w:pPr>
            <w:r>
              <w:rPr>
                <w:rFonts w:ascii="Arial" w:cs="Arial" w:eastAsia="Arial" w:hAnsi="Arial"/>
                <w:sz w:val="18"/>
                <w:szCs w:val="18"/>
                <w:i w:val="1"/>
                <w:iCs w:val="1"/>
                <w:color w:val="auto"/>
              </w:rPr>
              <w:t>CMO:</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2012</w:t>
            </w:r>
          </w:p>
        </w:tc>
        <w:tc>
          <w:tcPr>
            <w:tcW w:w="1260" w:type="dxa"/>
            <w:vAlign w:val="bottom"/>
            <w:gridSpan w:val="2"/>
            <w:shd w:val="clear" w:color="auto" w:fill="CCEEFF"/>
          </w:tcPr>
          <w:p>
            <w:pPr>
              <w:ind w:left="118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860"/>
              <w:spacing w:after="0"/>
              <w:rPr>
                <w:sz w:val="20"/>
                <w:szCs w:val="20"/>
                <w:color w:val="auto"/>
              </w:rPr>
            </w:pPr>
            <w:r>
              <w:rPr>
                <w:rFonts w:ascii="Arial" w:cs="Arial" w:eastAsia="Arial" w:hAnsi="Arial"/>
                <w:sz w:val="18"/>
                <w:szCs w:val="18"/>
                <w:color w:val="auto"/>
              </w:rPr>
              <w:t>2011</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2010</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860"/>
              <w:spacing w:after="0"/>
              <w:rPr>
                <w:sz w:val="20"/>
                <w:szCs w:val="20"/>
                <w:color w:val="auto"/>
              </w:rPr>
            </w:pPr>
            <w:r>
              <w:rPr>
                <w:rFonts w:ascii="Arial" w:cs="Arial" w:eastAsia="Arial" w:hAnsi="Arial"/>
                <w:sz w:val="18"/>
                <w:szCs w:val="18"/>
                <w:color w:val="auto"/>
              </w:rPr>
              <w:t>2009</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2008</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860"/>
              <w:spacing w:after="0"/>
              <w:rPr>
                <w:sz w:val="20"/>
                <w:szCs w:val="20"/>
                <w:color w:val="auto"/>
              </w:rPr>
            </w:pPr>
            <w:r>
              <w:rPr>
                <w:rFonts w:ascii="Arial" w:cs="Arial" w:eastAsia="Arial" w:hAnsi="Arial"/>
                <w:sz w:val="18"/>
                <w:szCs w:val="18"/>
                <w:color w:val="auto"/>
              </w:rPr>
              <w:t>2007</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2006</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860"/>
              <w:spacing w:after="0"/>
              <w:rPr>
                <w:sz w:val="20"/>
                <w:szCs w:val="20"/>
                <w:color w:val="auto"/>
              </w:rPr>
            </w:pPr>
            <w:r>
              <w:rPr>
                <w:rFonts w:ascii="Arial" w:cs="Arial" w:eastAsia="Arial" w:hAnsi="Arial"/>
                <w:sz w:val="18"/>
                <w:szCs w:val="18"/>
                <w:color w:val="auto"/>
              </w:rPr>
              <w:t>2005</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2004 and prior</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8"/>
                <w:szCs w:val="18"/>
                <w:color w:val="auto"/>
              </w:rPr>
              <w:t>Total Agency CMO</w:t>
            </w:r>
          </w:p>
        </w:tc>
        <w:tc>
          <w:tcPr>
            <w:tcW w:w="1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80" w:type="dxa"/>
            <w:vAlign w:val="bottom"/>
            <w:gridSpan w:val="2"/>
            <w:vMerge w:val="continue"/>
          </w:tcPr>
          <w:p>
            <w:pPr>
              <w:spacing w:after="0"/>
              <w:rPr>
                <w:sz w:val="19"/>
                <w:szCs w:val="19"/>
                <w:color w:val="auto"/>
              </w:rPr>
            </w:pPr>
          </w:p>
        </w:tc>
        <w:tc>
          <w:tcPr>
            <w:tcW w:w="1260" w:type="dxa"/>
            <w:vAlign w:val="bottom"/>
            <w:gridSpan w:val="2"/>
          </w:tcPr>
          <w:p>
            <w:pPr>
              <w:ind w:left="118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277.4</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15.8</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(9.2)</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Passthrough:</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860"/>
              <w:spacing w:after="0"/>
              <w:rPr>
                <w:sz w:val="20"/>
                <w:szCs w:val="20"/>
                <w:color w:val="auto"/>
              </w:rPr>
            </w:pPr>
            <w:r>
              <w:rPr>
                <w:rFonts w:ascii="Arial" w:cs="Arial" w:eastAsia="Arial" w:hAnsi="Arial"/>
                <w:sz w:val="18"/>
                <w:szCs w:val="18"/>
                <w:color w:val="auto"/>
              </w:rPr>
              <w:t>2005 through 2012</w:t>
            </w:r>
          </w:p>
        </w:tc>
        <w:tc>
          <w:tcPr>
            <w:tcW w:w="1260" w:type="dxa"/>
            <w:vAlign w:val="bottom"/>
            <w:gridSpan w:val="2"/>
          </w:tcPr>
          <w:p>
            <w:pPr>
              <w:ind w:left="118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2004 and prior</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vMerge w:val="restart"/>
          </w:tcPr>
          <w:p>
            <w:pPr>
              <w:ind w:left="420"/>
              <w:spacing w:after="0"/>
              <w:rPr>
                <w:sz w:val="20"/>
                <w:szCs w:val="20"/>
                <w:color w:val="auto"/>
              </w:rPr>
            </w:pPr>
            <w:r>
              <w:rPr>
                <w:rFonts w:ascii="Arial" w:cs="Arial" w:eastAsia="Arial" w:hAnsi="Arial"/>
                <w:sz w:val="18"/>
                <w:szCs w:val="18"/>
                <w:color w:val="auto"/>
              </w:rPr>
              <w:t>Total Agency Passthrough</w:t>
            </w:r>
          </w:p>
        </w:tc>
        <w:tc>
          <w:tcPr>
            <w:tcW w:w="1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vMerge w:val="continue"/>
          </w:tcPr>
          <w:p>
            <w:pPr>
              <w:spacing w:after="0"/>
              <w:rPr>
                <w:sz w:val="19"/>
                <w:szCs w:val="19"/>
                <w:color w:val="auto"/>
              </w:rPr>
            </w:pPr>
          </w:p>
        </w:tc>
        <w:tc>
          <w:tcPr>
            <w:tcW w:w="1260" w:type="dxa"/>
            <w:vAlign w:val="bottom"/>
            <w:gridSpan w:val="2"/>
          </w:tcPr>
          <w:p>
            <w:pPr>
              <w:ind w:left="118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78.5</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Agency CMBS</w:t>
            </w:r>
          </w:p>
        </w:tc>
        <w:tc>
          <w:tcPr>
            <w:tcW w:w="1260" w:type="dxa"/>
            <w:vAlign w:val="bottom"/>
            <w:gridSpan w:val="2"/>
            <w:shd w:val="clear" w:color="auto" w:fill="CCEEFF"/>
          </w:tcPr>
          <w:p>
            <w:pPr>
              <w:ind w:left="118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 Agency:</w:t>
            </w: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48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2012</w:t>
            </w:r>
          </w:p>
        </w:tc>
        <w:tc>
          <w:tcPr>
            <w:tcW w:w="1260" w:type="dxa"/>
            <w:vAlign w:val="bottom"/>
            <w:gridSpan w:val="2"/>
            <w:shd w:val="clear" w:color="auto" w:fill="CCEEFF"/>
          </w:tcPr>
          <w:p>
            <w:pPr>
              <w:ind w:left="118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420"/>
              <w:spacing w:after="0"/>
              <w:rPr>
                <w:sz w:val="20"/>
                <w:szCs w:val="20"/>
                <w:color w:val="auto"/>
              </w:rPr>
            </w:pPr>
            <w:r>
              <w:rPr>
                <w:rFonts w:ascii="Arial" w:cs="Arial" w:eastAsia="Arial" w:hAnsi="Arial"/>
                <w:sz w:val="18"/>
                <w:szCs w:val="18"/>
                <w:color w:val="auto"/>
              </w:rPr>
              <w:t>2011</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(0.8)</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2010</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420"/>
              <w:spacing w:after="0"/>
              <w:rPr>
                <w:sz w:val="20"/>
                <w:szCs w:val="20"/>
                <w:color w:val="auto"/>
              </w:rPr>
            </w:pPr>
            <w:r>
              <w:rPr>
                <w:rFonts w:ascii="Arial" w:cs="Arial" w:eastAsia="Arial" w:hAnsi="Arial"/>
                <w:sz w:val="18"/>
                <w:szCs w:val="18"/>
                <w:color w:val="auto"/>
              </w:rPr>
              <w:t>2009</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2008</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420"/>
              <w:spacing w:after="0"/>
              <w:rPr>
                <w:sz w:val="20"/>
                <w:szCs w:val="20"/>
                <w:color w:val="auto"/>
              </w:rPr>
            </w:pPr>
            <w:r>
              <w:rPr>
                <w:rFonts w:ascii="Arial" w:cs="Arial" w:eastAsia="Arial" w:hAnsi="Arial"/>
                <w:sz w:val="18"/>
                <w:szCs w:val="18"/>
                <w:color w:val="auto"/>
              </w:rPr>
              <w:t>2007</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387.6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456.0</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2006</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199.3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420"/>
              <w:spacing w:after="0"/>
              <w:rPr>
                <w:sz w:val="20"/>
                <w:szCs w:val="20"/>
                <w:color w:val="auto"/>
              </w:rPr>
            </w:pPr>
            <w:r>
              <w:rPr>
                <w:rFonts w:ascii="Arial" w:cs="Arial" w:eastAsia="Arial" w:hAnsi="Arial"/>
                <w:sz w:val="18"/>
                <w:szCs w:val="18"/>
                <w:color w:val="auto"/>
              </w:rPr>
              <w:t>2005</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219.3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2004 and prior</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8"/>
                <w:szCs w:val="18"/>
                <w:color w:val="auto"/>
              </w:rPr>
              <w:t>Total Non-Agency CMBS</w:t>
            </w:r>
          </w:p>
        </w:tc>
        <w:tc>
          <w:tcPr>
            <w:tcW w:w="1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80" w:type="dxa"/>
            <w:vAlign w:val="bottom"/>
            <w:gridSpan w:val="2"/>
            <w:vMerge w:val="continue"/>
          </w:tcPr>
          <w:p>
            <w:pPr>
              <w:spacing w:after="0"/>
              <w:rPr>
                <w:sz w:val="19"/>
                <w:szCs w:val="19"/>
                <w:color w:val="auto"/>
              </w:rPr>
            </w:pPr>
          </w:p>
        </w:tc>
        <w:tc>
          <w:tcPr>
            <w:tcW w:w="1260" w:type="dxa"/>
            <w:vAlign w:val="bottom"/>
            <w:gridSpan w:val="2"/>
          </w:tcPr>
          <w:p>
            <w:pPr>
              <w:ind w:left="1180"/>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1,182.3</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148.1</w:t>
            </w:r>
          </w:p>
        </w:tc>
        <w:tc>
          <w:tcPr>
            <w:tcW w:w="440" w:type="dxa"/>
            <w:vAlign w:val="bottom"/>
            <w:gridSpan w:val="2"/>
          </w:tcPr>
          <w:p>
            <w:pPr>
              <w:ind w:left="340"/>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1,330.4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(6.1)</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CMBS</w:t>
            </w:r>
          </w:p>
        </w:tc>
        <w:tc>
          <w:tcPr>
            <w:tcW w:w="1260" w:type="dxa"/>
            <w:vAlign w:val="bottom"/>
            <w:gridSpan w:val="2"/>
            <w:shd w:val="clear" w:color="auto" w:fill="CCEEFF"/>
          </w:tcPr>
          <w:p>
            <w:pPr>
              <w:ind w:left="1180"/>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1,538.2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1,707.7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Return on Equity Investments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Prospector Partners, LLC, or Prospector, manages a portfolio of equity and equity-like investments, the majority of which are publicly traded common stock and convertible securities. We believe that these investments are suitable for funding certain long duration liabilities in our Income Annuities segment and, on a limited basis, in our surplus portfolio. These securities are recorded at fair value, with changes in fair value recorded in net realized investment gains (losses). The common stock securities are included in trading marketable equity securities and the convertible securities are included in fixed maturities on our consolidated balance sheets.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compares our total gross return on common stock and convertible securities in the Prospector portfolio to the benchmark S&amp;P 500 Total Return Index for the years ended December 31, 2012, 2011 and 2010.</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88"/>
              </w:rPr>
              <w:t>For the Years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10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58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Common stock</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7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(0.7)%</w:t>
            </w: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3"/>
              </w:rPr>
              <w:t>22.6%</w:t>
            </w: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Convertible securities</w:t>
            </w: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2300" w:type="dxa"/>
            <w:vAlign w:val="bottom"/>
            <w:gridSpan w:val="3"/>
          </w:tcPr>
          <w:p>
            <w:pPr>
              <w:jc w:val="right"/>
              <w:ind w:right="940"/>
              <w:spacing w:after="0"/>
              <w:rPr>
                <w:sz w:val="20"/>
                <w:szCs w:val="20"/>
                <w:color w:val="auto"/>
              </w:rPr>
            </w:pPr>
            <w:r>
              <w:rPr>
                <w:rFonts w:ascii="Arial" w:cs="Arial" w:eastAsia="Arial" w:hAnsi="Arial"/>
                <w:sz w:val="18"/>
                <w:szCs w:val="18"/>
                <w:color w:val="auto"/>
              </w:rPr>
              <w:t>(7.9)</w:t>
            </w:r>
          </w:p>
        </w:tc>
        <w:tc>
          <w:tcPr>
            <w:tcW w:w="540" w:type="dxa"/>
            <w:vAlign w:val="bottom"/>
          </w:tcPr>
          <w:p>
            <w:pPr>
              <w:ind w:left="240"/>
              <w:spacing w:after="0"/>
              <w:rPr>
                <w:sz w:val="20"/>
                <w:szCs w:val="20"/>
                <w:color w:val="auto"/>
              </w:rPr>
            </w:pPr>
            <w:r>
              <w:rPr>
                <w:rFonts w:ascii="Arial" w:cs="Arial" w:eastAsia="Arial" w:hAnsi="Arial"/>
                <w:sz w:val="18"/>
                <w:szCs w:val="18"/>
                <w:color w:val="auto"/>
                <w:w w:val="79"/>
              </w:rPr>
              <w:t>16.5</w:t>
            </w:r>
          </w:p>
        </w:tc>
        <w:tc>
          <w:tcPr>
            <w:tcW w:w="20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S&amp;P 500 Total Return Index</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15.1</w:t>
            </w:r>
          </w:p>
        </w:tc>
        <w:tc>
          <w:tcPr>
            <w:tcW w:w="2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Return on Real Estate-Related Investments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Beginning in the second quarter of 2011, we implemented an investment strategy focusing on real estate-related investments to enhance funding of the long duration liabilities in our Income Annuities segment. The investments for this strategy primarily consist of investments in REITs, which are included in trading marketable equity securities on our consolidated balance sheets. As of December 31, 2012, the real estate-related investments had a fair value of $168.4. For the year ended December 31, 2012, the real estate-related investments had a total gross return of 13.6%, compared with the REIT Index (FTSE NAREIT All Equity REITS Index) result of 13.3%. For the year ended December 31, 2011, our real-estate related investments had a total gross return of 2.7% since inception in April, compared with the REIT Index result of 4.2% over the same period.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Mortgage Loans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mortgage loan department originates commercial mortgages and manages our existing commercial mortgage loan portfolio. We focus on originating loans of $1.0 to $5.0, which are secured by first-mortgage liens on income-producing commercial real estate. All loans are underwritten consistently to our standards based on loan-to-value (LTV) ratios and debt service coverage ratios (DSCR) based on income and detailed market, property and borrower analysis using our long-term experience in commercial mortgage lending. A large majority of our loans have personal guarantees and all loans are inspected and evaluated annually. We diversify our mortgage loans by geographic region, loan size and scheduled maturities.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selected information about the composition of our mortgage loan portfolio:</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8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loan balance</w:t>
            </w:r>
          </w:p>
        </w:tc>
        <w:tc>
          <w:tcPr>
            <w:tcW w:w="2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2.5</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Largest loan balance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LTV ratio</w:t>
            </w:r>
          </w:p>
        </w:tc>
        <w:tc>
          <w:tcPr>
            <w:tcW w:w="376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Weighted average DSCR</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as of December 31, 2012 and 2011, 70.5% and 71.6%, respectively, of our mortgage loans had an outstanding balance under $5.0.</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continue to increase our investments in mortgage loans, as this strategy has resulted in increased net investment yields when compared to fixed maturity investments. We believe a disciplined increase in our mortgage loan portfolio will help maintain the overall quality of our investment portfolio and obtain appropriate yields to match our policyholder liabilities. We originated $825.7 of mortgage loans during the year ended December 31, 2012 and expect to continue this pace of originations during 2013.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selected information about our mortgage loan originations: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328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72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2012</w:t>
            </w:r>
          </w:p>
        </w:tc>
        <w:tc>
          <w:tcPr>
            <w:tcW w:w="14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LTV ratio of loans originated</w:t>
            </w:r>
          </w:p>
        </w:tc>
        <w:tc>
          <w:tcPr>
            <w:tcW w:w="2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54.2%</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3"/>
              </w:rPr>
              <w:t>57.1%</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Maximum LTV ratio of loans originated</w:t>
            </w: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74.5</w:t>
            </w:r>
          </w:p>
        </w:tc>
        <w:tc>
          <w:tcPr>
            <w:tcW w:w="840" w:type="dxa"/>
            <w:vAlign w:val="bottom"/>
          </w:tcPr>
          <w:p>
            <w:pPr>
              <w:ind w:left="540"/>
              <w:spacing w:after="0"/>
              <w:rPr>
                <w:sz w:val="20"/>
                <w:szCs w:val="20"/>
                <w:color w:val="auto"/>
              </w:rPr>
            </w:pPr>
            <w:r>
              <w:rPr>
                <w:rFonts w:ascii="Arial" w:cs="Arial" w:eastAsia="Arial" w:hAnsi="Arial"/>
                <w:sz w:val="18"/>
                <w:szCs w:val="18"/>
                <w:color w:val="auto"/>
                <w:w w:val="79"/>
              </w:rPr>
              <w:t>74.3</w:t>
            </w:r>
          </w:p>
        </w:tc>
        <w:tc>
          <w:tcPr>
            <w:tcW w:w="20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DSCR of loans originated</w:t>
            </w:r>
          </w:p>
        </w:tc>
        <w:tc>
          <w:tcPr>
            <w:tcW w:w="2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1.89</w:t>
            </w:r>
          </w:p>
        </w:tc>
        <w:tc>
          <w:tcPr>
            <w:tcW w:w="8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1.73</w:t>
            </w:r>
          </w:p>
        </w:tc>
        <w:tc>
          <w:tcPr>
            <w:tcW w:w="200" w:type="dxa"/>
            <w:vAlign w:val="bottom"/>
            <w:shd w:val="clear" w:color="auto" w:fill="CCEEFF"/>
          </w:tcPr>
          <w:p>
            <w:pPr>
              <w:spacing w:after="0"/>
              <w:rPr>
                <w:sz w:val="18"/>
                <w:szCs w:val="18"/>
                <w:color w:val="auto"/>
              </w:rPr>
            </w:pPr>
          </w:p>
        </w:tc>
      </w:tr>
      <w:tr>
        <w:trPr>
          <w:trHeight w:val="222"/>
        </w:trPr>
        <w:tc>
          <w:tcPr>
            <w:tcW w:w="7220" w:type="dxa"/>
            <w:vAlign w:val="bottom"/>
          </w:tcPr>
          <w:p>
            <w:pPr>
              <w:spacing w:after="0"/>
              <w:rPr>
                <w:sz w:val="20"/>
                <w:szCs w:val="20"/>
                <w:color w:val="auto"/>
              </w:rPr>
            </w:pPr>
            <w:r>
              <w:rPr>
                <w:rFonts w:ascii="Arial" w:cs="Arial" w:eastAsia="Arial" w:hAnsi="Arial"/>
                <w:sz w:val="18"/>
                <w:szCs w:val="18"/>
                <w:color w:val="auto"/>
              </w:rPr>
              <w:t>Minimum DSCR of loans originated</w:t>
            </w: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1.04</w:t>
            </w:r>
          </w:p>
        </w:tc>
        <w:tc>
          <w:tcPr>
            <w:tcW w:w="840" w:type="dxa"/>
            <w:vAlign w:val="bottom"/>
          </w:tcPr>
          <w:p>
            <w:pPr>
              <w:ind w:left="540"/>
              <w:spacing w:after="0"/>
              <w:rPr>
                <w:sz w:val="20"/>
                <w:szCs w:val="20"/>
                <w:color w:val="auto"/>
              </w:rPr>
            </w:pPr>
            <w:r>
              <w:rPr>
                <w:rFonts w:ascii="Arial" w:cs="Arial" w:eastAsia="Arial" w:hAnsi="Arial"/>
                <w:sz w:val="18"/>
                <w:szCs w:val="18"/>
                <w:color w:val="auto"/>
                <w:w w:val="79"/>
              </w:rPr>
              <w:t>1.09</w:t>
            </w:r>
          </w:p>
        </w:tc>
        <w:tc>
          <w:tcPr>
            <w:tcW w:w="2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Further, for loans originated in the year ended December 31, 2012, 31.1% had an LTV ratio of 50% or less, and 71.6% had a DSCR of 1.60 or more. For loans originated in the year ended December 31, 2011, 23.2% had an LTV ratio of 50% or less, and 56.0% had a DSCR of 1.60 or more. The DSCR on loans funded in 2012 generally increased over loans funded in 2011. Lower interest rates on 2012 originations reduced the amount required for debt service and resulted in a higher weighted-average DSCR.</w:t>
      </w:r>
    </w:p>
    <w:p>
      <w:pPr>
        <w:spacing w:after="0" w:line="143" w:lineRule="exact"/>
        <w:rPr>
          <w:sz w:val="20"/>
          <w:szCs w:val="20"/>
          <w:color w:val="auto"/>
        </w:rPr>
      </w:pPr>
    </w:p>
    <w:p>
      <w:pPr>
        <w:jc w:val="both"/>
        <w:ind w:right="180" w:firstLine="456"/>
        <w:spacing w:after="0" w:line="370" w:lineRule="auto"/>
        <w:rPr>
          <w:sz w:val="20"/>
          <w:szCs w:val="20"/>
          <w:color w:val="auto"/>
        </w:rPr>
      </w:pPr>
      <w:r>
        <w:rPr>
          <w:rFonts w:ascii="Arial" w:cs="Arial" w:eastAsia="Arial" w:hAnsi="Arial"/>
          <w:sz w:val="15"/>
          <w:szCs w:val="15"/>
          <w:color w:val="auto"/>
        </w:rPr>
        <w:t>The following sections provide more information on the composition of our mortgage loan portfolio. On our consolidated balance sheets, mortgage loans are reported net of an allowance for losses, deferred loan origination costs, and unearned mortgage loan fees; however, the following tables exclude these items.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Quality</w:t>
      </w:r>
    </w:p>
    <w:p>
      <w:pPr>
        <w:spacing w:after="0" w:line="90"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We use the LTV and DSCR ratios as our primary metrics to assess mortgage loan quality. These factors are also considered in our evaluation of our allowance for mortgage loan losses. For more information and further discussion of our allowance for mortgage loan losses, see Note 5 to our consolidated financial statements. The following table sets forth the LTV ratios for our gross mortgage loan portfolio:</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4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w w:val="96"/>
              </w:rPr>
              <w:t>As of December 31, 2012</w:t>
            </w:r>
          </w:p>
        </w:tc>
        <w:tc>
          <w:tcPr>
            <w:tcW w:w="100" w:type="dxa"/>
            <w:vAlign w:val="bottom"/>
          </w:tcPr>
          <w:p>
            <w:pPr>
              <w:spacing w:after="0"/>
              <w:rPr>
                <w:sz w:val="14"/>
                <w:szCs w:val="14"/>
                <w:color w:val="auto"/>
              </w:rPr>
            </w:pPr>
          </w:p>
        </w:tc>
        <w:tc>
          <w:tcPr>
            <w:tcW w:w="19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0"/>
              </w:rPr>
              <w:t>As of December 31,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1240" w:type="dxa"/>
            <w:vAlign w:val="bottom"/>
            <w:tcBorders>
              <w:top w:val="single" w:sz="8" w:color="auto"/>
            </w:tcBorders>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w w:val="97"/>
              </w:rPr>
              <w:t>Carrying</w:t>
            </w:r>
          </w:p>
        </w:tc>
        <w:tc>
          <w:tcPr>
            <w:tcW w:w="58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rPr>
              <w:t>% of</w:t>
            </w:r>
          </w:p>
        </w:tc>
        <w:tc>
          <w:tcPr>
            <w:tcW w:w="660" w:type="dxa"/>
            <w:vAlign w:val="bottom"/>
          </w:tcPr>
          <w:p>
            <w:pPr>
              <w:spacing w:after="0"/>
              <w:rPr>
                <w:sz w:val="11"/>
                <w:szCs w:val="11"/>
                <w:color w:val="auto"/>
              </w:rPr>
            </w:pPr>
          </w:p>
        </w:tc>
        <w:tc>
          <w:tcPr>
            <w:tcW w:w="1260" w:type="dxa"/>
            <w:vAlign w:val="bottom"/>
            <w:tcBorders>
              <w:top w:val="single" w:sz="8" w:color="auto"/>
            </w:tcBorders>
            <w:gridSpan w:val="3"/>
          </w:tcPr>
          <w:p>
            <w:pPr>
              <w:jc w:val="right"/>
              <w:ind w:right="680"/>
              <w:spacing w:after="0" w:line="129"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Value</w:t>
            </w:r>
          </w:p>
        </w:tc>
        <w:tc>
          <w:tcPr>
            <w:tcW w:w="12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1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6"/>
              </w:rPr>
              <w:t>Value</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Loan-to-Value Ratio:</w:t>
            </w:r>
          </w:p>
        </w:tc>
        <w:tc>
          <w:tcPr>
            <w:tcW w:w="6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&lt; or = 50%</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w w:val="85"/>
              </w:rPr>
              <w:t>$1,007.0</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32.5%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805.7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51%—60%</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908.2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689.3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61%—70%</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844.7</w:t>
            </w:r>
          </w:p>
        </w:tc>
        <w:tc>
          <w:tcPr>
            <w:tcW w:w="580" w:type="dxa"/>
            <w:vAlign w:val="bottom"/>
          </w:tcPr>
          <w:p>
            <w:pPr>
              <w:jc w:val="right"/>
              <w:spacing w:after="0"/>
              <w:rPr>
                <w:sz w:val="20"/>
                <w:szCs w:val="20"/>
                <w:color w:val="auto"/>
              </w:rPr>
            </w:pPr>
            <w:r>
              <w:rPr>
                <w:rFonts w:ascii="Arial" w:cs="Arial" w:eastAsia="Arial" w:hAnsi="Arial"/>
                <w:sz w:val="18"/>
                <w:szCs w:val="18"/>
                <w:color w:val="auto"/>
              </w:rPr>
              <w:t>27.2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720.6</w:t>
            </w:r>
          </w:p>
        </w:tc>
        <w:tc>
          <w:tcPr>
            <w:tcW w:w="560" w:type="dxa"/>
            <w:vAlign w:val="bottom"/>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71%—75%</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167.9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121.1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76%—80%</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63.8</w:t>
            </w: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58.8</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81%—100%</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89.6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&gt; 100%</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30.9</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40.1</w:t>
            </w: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3,101.2</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3"/>
              </w:rPr>
              <w:t>2,525.2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LTV ratio compares the amount of the loan to the estimated fair value of the underlying property collateralizing the loan. In the year of funding, LTV ratios are calculated using independent appraisals performed by Member of the Appraisal Institute (MAI) designated appraisers. Subsequent to the year of funding, LTV ratios are updated annually using internal valuations based on property income and estimated market capitalization rates. Property income estimates are typically updated during the third quarter of each year. Market capitalization rates are updated during the first quarter based on geographic region, property type and economic climate. LTV ratios greater than 100% indicate that the loan amount is greater than the collateral value. A smaller LTV ratio generally indicates a higher quality loan.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we increase the volume of originations, we focus on maintaining our disciplined underwriting approach. The following table sets forth the carrying value and weighted-average LTV ratios for our mortgage loan portfolio by year of origination, as of December 31, 2012: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 of</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5"/>
          </w:tcPr>
          <w:p>
            <w:pPr>
              <w:jc w:val="right"/>
              <w:ind w:right="760"/>
              <w:spacing w:after="0" w:line="149" w:lineRule="exact"/>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2"/>
                <w:szCs w:val="12"/>
                <w:color w:val="auto"/>
              </w:rPr>
            </w:pPr>
          </w:p>
        </w:tc>
        <w:tc>
          <w:tcPr>
            <w:tcW w:w="12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Total</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4"/>
                <w:szCs w:val="14"/>
                <w:color w:val="auto"/>
              </w:rPr>
            </w:pPr>
          </w:p>
        </w:tc>
        <w:tc>
          <w:tcPr>
            <w:tcW w:w="126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6"/>
              </w:rPr>
              <w:t>Value</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LTV</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Origination year:</w:t>
            </w:r>
          </w:p>
        </w:tc>
        <w:tc>
          <w:tcPr>
            <w:tcW w:w="6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2012</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841.3</w:t>
            </w:r>
          </w:p>
        </w:tc>
        <w:tc>
          <w:tcPr>
            <w:tcW w:w="580" w:type="dxa"/>
            <w:vAlign w:val="bottom"/>
          </w:tcPr>
          <w:p>
            <w:pPr>
              <w:spacing w:after="0"/>
              <w:rPr>
                <w:sz w:val="18"/>
                <w:szCs w:val="18"/>
                <w:color w:val="auto"/>
              </w:rPr>
            </w:pPr>
          </w:p>
        </w:tc>
        <w:tc>
          <w:tcPr>
            <w:tcW w:w="1340" w:type="dxa"/>
            <w:vAlign w:val="bottom"/>
            <w:gridSpan w:val="4"/>
          </w:tcPr>
          <w:p>
            <w:pPr>
              <w:jc w:val="right"/>
              <w:ind w:right="600"/>
              <w:spacing w:after="0"/>
              <w:rPr>
                <w:sz w:val="20"/>
                <w:szCs w:val="20"/>
                <w:color w:val="auto"/>
              </w:rPr>
            </w:pPr>
            <w:r>
              <w:rPr>
                <w:rFonts w:ascii="Arial" w:cs="Arial" w:eastAsia="Arial" w:hAnsi="Arial"/>
                <w:sz w:val="18"/>
                <w:szCs w:val="18"/>
                <w:color w:val="auto"/>
              </w:rPr>
              <w:t>27.1%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2011</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936.7</w:t>
            </w:r>
          </w:p>
        </w:tc>
        <w:tc>
          <w:tcPr>
            <w:tcW w:w="5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30.3</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2010</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534.4</w:t>
            </w:r>
          </w:p>
        </w:tc>
        <w:tc>
          <w:tcPr>
            <w:tcW w:w="58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17.2</w:t>
            </w:r>
          </w:p>
        </w:tc>
        <w:tc>
          <w:tcPr>
            <w:tcW w:w="6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2009</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203.0</w:t>
            </w:r>
          </w:p>
        </w:tc>
        <w:tc>
          <w:tcPr>
            <w:tcW w:w="5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2008</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173.1</w:t>
            </w:r>
          </w:p>
        </w:tc>
        <w:tc>
          <w:tcPr>
            <w:tcW w:w="58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5.6</w:t>
            </w:r>
          </w:p>
        </w:tc>
        <w:tc>
          <w:tcPr>
            <w:tcW w:w="6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2007</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119.0</w:t>
            </w:r>
          </w:p>
        </w:tc>
        <w:tc>
          <w:tcPr>
            <w:tcW w:w="5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2006</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80.1</w:t>
            </w:r>
          </w:p>
        </w:tc>
        <w:tc>
          <w:tcPr>
            <w:tcW w:w="58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2.6</w:t>
            </w:r>
          </w:p>
        </w:tc>
        <w:tc>
          <w:tcPr>
            <w:tcW w:w="6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2005</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60.0</w:t>
            </w:r>
          </w:p>
        </w:tc>
        <w:tc>
          <w:tcPr>
            <w:tcW w:w="5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2004 and prior</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153.6</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5.0</w:t>
            </w:r>
          </w:p>
        </w:tc>
        <w:tc>
          <w:tcPr>
            <w:tcW w:w="6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3,101.2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100.0%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w w:val="95"/>
              </w:rPr>
              <w:t>The following table sets forth the DSCRs for our gross mortgage loan portfolio:</w:t>
            </w: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00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40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w w:val="96"/>
              </w:rPr>
              <w:t>As of December 31, 2012</w:t>
            </w:r>
          </w:p>
        </w:tc>
        <w:tc>
          <w:tcPr>
            <w:tcW w:w="80" w:type="dxa"/>
            <w:vAlign w:val="bottom"/>
          </w:tcPr>
          <w:p>
            <w:pPr>
              <w:spacing w:after="0"/>
              <w:rPr>
                <w:sz w:val="24"/>
                <w:szCs w:val="24"/>
                <w:color w:val="auto"/>
              </w:rPr>
            </w:pPr>
          </w:p>
        </w:tc>
        <w:tc>
          <w:tcPr>
            <w:tcW w:w="20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As of December 31,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106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3"/>
              </w:rPr>
              <w:t>Carrying</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 of</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Borders>
              <w:top w:val="single" w:sz="8" w:color="auto"/>
            </w:tcBorders>
            <w:gridSpan w:val="3"/>
          </w:tcPr>
          <w:p>
            <w:pPr>
              <w:ind w:left="60"/>
              <w:spacing w:after="0" w:line="129" w:lineRule="exact"/>
              <w:rPr>
                <w:sz w:val="20"/>
                <w:szCs w:val="20"/>
                <w:color w:val="auto"/>
              </w:rPr>
            </w:pPr>
            <w:r>
              <w:rPr>
                <w:rFonts w:ascii="Arial" w:cs="Arial" w:eastAsia="Arial" w:hAnsi="Arial"/>
                <w:sz w:val="14"/>
                <w:szCs w:val="14"/>
                <w:b w:val="1"/>
                <w:bCs w:val="1"/>
                <w:color w:val="auto"/>
              </w:rPr>
              <w:t>Carrying</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Value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2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Value1</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Service Coverage Ratio:</w:t>
            </w:r>
          </w:p>
        </w:tc>
        <w:tc>
          <w:tcPr>
            <w:tcW w:w="6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&gt; or = 1.60</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$1,763.3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56.9%</w:t>
            </w:r>
          </w:p>
        </w:tc>
        <w:tc>
          <w:tcPr>
            <w:tcW w:w="1340" w:type="dxa"/>
            <w:vAlign w:val="bottom"/>
            <w:gridSpan w:val="4"/>
          </w:tcPr>
          <w:p>
            <w:pPr>
              <w:jc w:val="right"/>
              <w:ind w:right="640"/>
              <w:spacing w:after="0"/>
              <w:rPr>
                <w:sz w:val="20"/>
                <w:szCs w:val="20"/>
                <w:color w:val="auto"/>
              </w:rPr>
            </w:pPr>
            <w:r>
              <w:rPr>
                <w:rFonts w:ascii="Arial" w:cs="Arial" w:eastAsia="Arial" w:hAnsi="Arial"/>
                <w:sz w:val="18"/>
                <w:szCs w:val="18"/>
                <w:color w:val="auto"/>
                <w:w w:val="96"/>
              </w:rPr>
              <w:t>$1,310.8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1.40 -1.59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5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566.5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1.20 -1.39</w:t>
            </w:r>
          </w:p>
        </w:tc>
        <w:tc>
          <w:tcPr>
            <w:tcW w:w="620" w:type="dxa"/>
            <w:vAlign w:val="bottom"/>
          </w:tcPr>
          <w:p>
            <w:pPr>
              <w:jc w:val="right"/>
              <w:spacing w:after="0"/>
              <w:rPr>
                <w:sz w:val="20"/>
                <w:szCs w:val="20"/>
                <w:color w:val="auto"/>
              </w:rPr>
            </w:pPr>
            <w:r>
              <w:rPr>
                <w:rFonts w:ascii="Arial" w:cs="Arial" w:eastAsia="Arial" w:hAnsi="Arial"/>
                <w:sz w:val="18"/>
                <w:szCs w:val="18"/>
                <w:color w:val="auto"/>
              </w:rPr>
              <w:t>405.4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13.1</w:t>
            </w:r>
          </w:p>
        </w:tc>
        <w:tc>
          <w:tcPr>
            <w:tcW w:w="580" w:type="dxa"/>
            <w:vAlign w:val="bottom"/>
          </w:tcPr>
          <w:p>
            <w:pPr>
              <w:spacing w:after="0"/>
              <w:rPr>
                <w:sz w:val="18"/>
                <w:szCs w:val="18"/>
                <w:color w:val="auto"/>
              </w:rPr>
            </w:pPr>
          </w:p>
        </w:tc>
        <w:tc>
          <w:tcPr>
            <w:tcW w:w="1340" w:type="dxa"/>
            <w:vAlign w:val="bottom"/>
            <w:gridSpan w:val="4"/>
          </w:tcPr>
          <w:p>
            <w:pPr>
              <w:jc w:val="right"/>
              <w:ind w:right="640"/>
              <w:spacing w:after="0"/>
              <w:rPr>
                <w:sz w:val="20"/>
                <w:szCs w:val="20"/>
                <w:color w:val="auto"/>
              </w:rPr>
            </w:pPr>
            <w:r>
              <w:rPr>
                <w:rFonts w:ascii="Arial" w:cs="Arial" w:eastAsia="Arial" w:hAnsi="Arial"/>
                <w:sz w:val="18"/>
                <w:szCs w:val="18"/>
                <w:color w:val="auto"/>
              </w:rPr>
              <w:t>369.7</w:t>
            </w:r>
          </w:p>
        </w:tc>
        <w:tc>
          <w:tcPr>
            <w:tcW w:w="560" w:type="dxa"/>
            <w:vAlign w:val="bottom"/>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1.00 -1.19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157.4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0.85 -0.99</w:t>
            </w:r>
          </w:p>
        </w:tc>
        <w:tc>
          <w:tcPr>
            <w:tcW w:w="620" w:type="dxa"/>
            <w:vAlign w:val="bottom"/>
          </w:tcPr>
          <w:p>
            <w:pPr>
              <w:jc w:val="right"/>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8"/>
                <w:szCs w:val="18"/>
                <w:color w:val="auto"/>
              </w:rPr>
            </w:pPr>
          </w:p>
        </w:tc>
        <w:tc>
          <w:tcPr>
            <w:tcW w:w="1340" w:type="dxa"/>
            <w:vAlign w:val="bottom"/>
            <w:gridSpan w:val="4"/>
          </w:tcPr>
          <w:p>
            <w:pPr>
              <w:jc w:val="right"/>
              <w:ind w:right="640"/>
              <w:spacing w:after="0"/>
              <w:rPr>
                <w:sz w:val="20"/>
                <w:szCs w:val="20"/>
                <w:color w:val="auto"/>
              </w:rPr>
            </w:pPr>
            <w:r>
              <w:rPr>
                <w:rFonts w:ascii="Arial" w:cs="Arial" w:eastAsia="Arial" w:hAnsi="Arial"/>
                <w:sz w:val="18"/>
                <w:szCs w:val="18"/>
                <w:color w:val="auto"/>
              </w:rPr>
              <w:t>39.0</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&lt; 0.85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3,101.2</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8"/>
                <w:szCs w:val="18"/>
                <w:color w:val="auto"/>
              </w:rPr>
              <w:t>100.0%</w:t>
            </w:r>
          </w:p>
        </w:tc>
        <w:tc>
          <w:tcPr>
            <w:tcW w:w="1340" w:type="dxa"/>
            <w:vAlign w:val="bottom"/>
            <w:gridSpan w:val="4"/>
          </w:tcPr>
          <w:p>
            <w:pPr>
              <w:jc w:val="right"/>
              <w:ind w:right="64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2,525.2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DSCR compares the amount of rental income a property is generating to the amount of the mortgage payments due on the property. DSCRs are calculated using the most current annual operating history for the collateral. As of December 31, 2012, loans with an aggregate carrying value of $110.6 had a DSCR of less than 1.00. The average outstanding principal balance of these loans was $1.7. As of December 31, 2012, one loan with an outstanding principal balance of $3.7 was in default.</w:t>
      </w:r>
    </w:p>
    <w:p>
      <w:pPr>
        <w:spacing w:after="0" w:line="13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240" w:top="459" w:right="5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Composition of Mortgage Loans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gross carrying value of our investments in mortgage loans by geographic region:</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w w:val="93"/>
              </w:rPr>
              <w:t>As of December 31, 2012</w:t>
            </w:r>
          </w:p>
        </w:tc>
        <w:tc>
          <w:tcPr>
            <w:tcW w:w="100" w:type="dxa"/>
            <w:vAlign w:val="bottom"/>
          </w:tcPr>
          <w:p>
            <w:pPr>
              <w:spacing w:after="0"/>
              <w:rPr>
                <w:sz w:val="14"/>
                <w:szCs w:val="14"/>
                <w:color w:val="auto"/>
              </w:rPr>
            </w:pPr>
          </w:p>
        </w:tc>
        <w:tc>
          <w:tcPr>
            <w:tcW w:w="20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3"/>
              </w:rPr>
              <w:t>As of December 31, 2011</w:t>
            </w:r>
          </w:p>
        </w:tc>
        <w:tc>
          <w:tcPr>
            <w:tcW w:w="0" w:type="dxa"/>
            <w:vAlign w:val="bottom"/>
          </w:tcPr>
          <w:p>
            <w:pPr>
              <w:spacing w:after="0"/>
              <w:rPr>
                <w:sz w:val="1"/>
                <w:szCs w:val="1"/>
                <w:color w:val="auto"/>
              </w:rPr>
            </w:pPr>
          </w:p>
        </w:tc>
      </w:tr>
      <w:tr>
        <w:trPr>
          <w:trHeight w:val="129"/>
        </w:trPr>
        <w:tc>
          <w:tcPr>
            <w:tcW w:w="5820" w:type="dxa"/>
            <w:vAlign w:val="bottom"/>
          </w:tcPr>
          <w:p>
            <w:pPr>
              <w:spacing w:after="0"/>
              <w:rPr>
                <w:sz w:val="11"/>
                <w:szCs w:val="11"/>
                <w:color w:val="auto"/>
              </w:rPr>
            </w:pPr>
          </w:p>
        </w:tc>
        <w:tc>
          <w:tcPr>
            <w:tcW w:w="1280" w:type="dxa"/>
            <w:vAlign w:val="bottom"/>
            <w:tcBorders>
              <w:top w:val="single" w:sz="8" w:color="auto"/>
            </w:tcBorders>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90"/>
              </w:rPr>
              <w:t>Carrying</w:t>
            </w:r>
          </w:p>
        </w:tc>
        <w:tc>
          <w:tcPr>
            <w:tcW w:w="64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 of</w:t>
            </w:r>
          </w:p>
        </w:tc>
        <w:tc>
          <w:tcPr>
            <w:tcW w:w="660" w:type="dxa"/>
            <w:vAlign w:val="bottom"/>
          </w:tcPr>
          <w:p>
            <w:pPr>
              <w:spacing w:after="0"/>
              <w:rPr>
                <w:sz w:val="11"/>
                <w:szCs w:val="11"/>
                <w:color w:val="auto"/>
              </w:rPr>
            </w:pPr>
          </w:p>
        </w:tc>
        <w:tc>
          <w:tcPr>
            <w:tcW w:w="1260" w:type="dxa"/>
            <w:vAlign w:val="bottom"/>
            <w:tcBorders>
              <w:top w:val="single" w:sz="8" w:color="auto"/>
            </w:tcBorders>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93"/>
              </w:rPr>
              <w:t>Carrying</w:t>
            </w:r>
          </w:p>
        </w:tc>
        <w:tc>
          <w:tcPr>
            <w:tcW w:w="64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5"/>
              </w:rPr>
              <w:t>Value</w:t>
            </w:r>
          </w:p>
        </w:tc>
        <w:tc>
          <w:tcPr>
            <w:tcW w:w="13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1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5"/>
              </w:rPr>
              <w:t>Value</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Region:</w:t>
            </w: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California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881.4</w:t>
            </w:r>
          </w:p>
        </w:tc>
        <w:tc>
          <w:tcPr>
            <w:tcW w:w="6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813.7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Texas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265.2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Washington</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310.0</w:t>
            </w:r>
          </w:p>
        </w:tc>
        <w:tc>
          <w:tcPr>
            <w:tcW w:w="62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304.8</w:t>
            </w:r>
          </w:p>
        </w:tc>
        <w:tc>
          <w:tcPr>
            <w:tcW w:w="64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Florida</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87.8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Illinois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138.6</w:t>
            </w:r>
          </w:p>
        </w:tc>
        <w:tc>
          <w:tcPr>
            <w:tcW w:w="62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105.6</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1,279.4</w:t>
            </w: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948.1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3,101.2</w:t>
            </w:r>
          </w:p>
        </w:tc>
        <w:tc>
          <w:tcPr>
            <w:tcW w:w="62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2,525.2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gross carrying value of our investments in mortgage loans by property type: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5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As of December 31, 2012</w:t>
            </w:r>
          </w:p>
        </w:tc>
        <w:tc>
          <w:tcPr>
            <w:tcW w:w="21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9"/>
              </w:rPr>
              <w:t>As of December 31,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280" w:type="dxa"/>
            <w:vAlign w:val="bottom"/>
            <w:tcBorders>
              <w:top w:val="single" w:sz="8" w:color="auto"/>
            </w:tcBorders>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rPr>
              <w:t>Carrying</w:t>
            </w:r>
          </w:p>
        </w:tc>
        <w:tc>
          <w:tcPr>
            <w:tcW w:w="64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 of</w:t>
            </w:r>
          </w:p>
        </w:tc>
        <w:tc>
          <w:tcPr>
            <w:tcW w:w="660" w:type="dxa"/>
            <w:vAlign w:val="bottom"/>
          </w:tcPr>
          <w:p>
            <w:pPr>
              <w:spacing w:after="0"/>
              <w:rPr>
                <w:sz w:val="11"/>
                <w:szCs w:val="11"/>
                <w:color w:val="auto"/>
              </w:rPr>
            </w:pPr>
          </w:p>
        </w:tc>
        <w:tc>
          <w:tcPr>
            <w:tcW w:w="1260" w:type="dxa"/>
            <w:vAlign w:val="bottom"/>
            <w:tcBorders>
              <w:top w:val="single" w:sz="8" w:color="auto"/>
            </w:tcBorders>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93"/>
              </w:rPr>
              <w:t>Carrying</w:t>
            </w:r>
          </w:p>
        </w:tc>
        <w:tc>
          <w:tcPr>
            <w:tcW w:w="64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Value</w:t>
            </w:r>
          </w:p>
        </w:tc>
        <w:tc>
          <w:tcPr>
            <w:tcW w:w="13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Value</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Property Type:</w:t>
            </w:r>
          </w:p>
        </w:tc>
        <w:tc>
          <w:tcPr>
            <w:tcW w:w="6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Shopping centers and retail</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85"/>
              </w:rPr>
              <w:t>$ 1,526.6</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49.3%</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85"/>
              </w:rPr>
              <w:t>$ 1,190.6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Office buildings</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753.1</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24.3</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628.9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Industrial</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568.0</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18.2</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503.7</w:t>
            </w:r>
          </w:p>
        </w:tc>
        <w:tc>
          <w:tcPr>
            <w:tcW w:w="640" w:type="dxa"/>
            <w:vAlign w:val="bottom"/>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Multi-family</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133.0</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113.4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Other</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120.5</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3.9</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88.6</w:t>
            </w: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5"/>
              </w:rPr>
              <w:t>$ 3,101.2</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5"/>
              </w:rPr>
              <w:t>$ 2,525.2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Maturity Date of Mortgage Loans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gross carrying value of our investments in mortgage loans by contractual maturity date: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4"/>
              </w:rPr>
              <w:t>As of December 31, 2012</w:t>
            </w:r>
          </w:p>
        </w:tc>
      </w:tr>
      <w:tr>
        <w:trPr>
          <w:trHeight w:val="129"/>
        </w:trPr>
        <w:tc>
          <w:tcPr>
            <w:tcW w:w="7380" w:type="dxa"/>
            <w:vAlign w:val="bottom"/>
          </w:tcPr>
          <w:p>
            <w:pPr>
              <w:spacing w:after="0"/>
              <w:rPr>
                <w:sz w:val="11"/>
                <w:szCs w:val="11"/>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Carrying</w:t>
            </w:r>
          </w:p>
        </w:tc>
        <w:tc>
          <w:tcPr>
            <w:tcW w:w="7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06"/>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r>
      <w:tr>
        <w:trPr>
          <w:trHeight w:val="161"/>
        </w:trPr>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78"/>
              <w:spacing w:after="0"/>
              <w:rPr>
                <w:sz w:val="20"/>
                <w:szCs w:val="20"/>
                <w:color w:val="auto"/>
              </w:rPr>
            </w:pPr>
            <w:r>
              <w:rPr>
                <w:rFonts w:ascii="Arial" w:cs="Arial" w:eastAsia="Arial" w:hAnsi="Arial"/>
                <w:sz w:val="14"/>
                <w:szCs w:val="14"/>
                <w:b w:val="1"/>
                <w:bCs w:val="1"/>
                <w:color w:val="auto"/>
                <w:w w:val="96"/>
              </w:rPr>
              <w:t>Value</w:t>
            </w:r>
          </w:p>
        </w:tc>
        <w:tc>
          <w:tcPr>
            <w:tcW w:w="70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196"/>
        </w:trPr>
        <w:tc>
          <w:tcPr>
            <w:tcW w:w="7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Years to Maturity:</w:t>
            </w: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7380" w:type="dxa"/>
            <w:vAlign w:val="bottom"/>
          </w:tcPr>
          <w:p>
            <w:pPr>
              <w:ind w:left="440"/>
              <w:spacing w:after="0"/>
              <w:rPr>
                <w:sz w:val="20"/>
                <w:szCs w:val="20"/>
                <w:color w:val="auto"/>
              </w:rPr>
            </w:pPr>
            <w:r>
              <w:rPr>
                <w:rFonts w:ascii="Arial" w:cs="Arial" w:eastAsia="Arial" w:hAnsi="Arial"/>
                <w:sz w:val="18"/>
                <w:szCs w:val="18"/>
                <w:color w:val="auto"/>
              </w:rPr>
              <w:t>Due in one year or less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16.7</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0.5%</w:t>
            </w:r>
          </w:p>
        </w:tc>
      </w:tr>
      <w:tr>
        <w:trPr>
          <w:trHeight w:val="216"/>
        </w:trPr>
        <w:tc>
          <w:tcPr>
            <w:tcW w:w="7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after one year through five years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r>
      <w:tr>
        <w:trPr>
          <w:trHeight w:val="216"/>
        </w:trPr>
        <w:tc>
          <w:tcPr>
            <w:tcW w:w="7380" w:type="dxa"/>
            <w:vAlign w:val="bottom"/>
          </w:tcPr>
          <w:p>
            <w:pPr>
              <w:ind w:left="440"/>
              <w:spacing w:after="0"/>
              <w:rPr>
                <w:sz w:val="20"/>
                <w:szCs w:val="20"/>
                <w:color w:val="auto"/>
              </w:rPr>
            </w:pPr>
            <w:r>
              <w:rPr>
                <w:rFonts w:ascii="Arial" w:cs="Arial" w:eastAsia="Arial" w:hAnsi="Arial"/>
                <w:sz w:val="18"/>
                <w:szCs w:val="18"/>
                <w:color w:val="auto"/>
              </w:rPr>
              <w:t>Due after five years through ten years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1,539.8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49.7</w:t>
            </w:r>
          </w:p>
        </w:tc>
        <w:tc>
          <w:tcPr>
            <w:tcW w:w="200" w:type="dxa"/>
            <w:vAlign w:val="bottom"/>
          </w:tcPr>
          <w:p>
            <w:pPr>
              <w:spacing w:after="0"/>
              <w:rPr>
                <w:sz w:val="18"/>
                <w:szCs w:val="18"/>
                <w:color w:val="auto"/>
              </w:rPr>
            </w:pPr>
          </w:p>
        </w:tc>
      </w:tr>
      <w:tr>
        <w:trPr>
          <w:trHeight w:val="216"/>
        </w:trPr>
        <w:tc>
          <w:tcPr>
            <w:tcW w:w="7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after ten years</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1,316.2</w:t>
            </w:r>
          </w:p>
        </w:tc>
        <w:tc>
          <w:tcPr>
            <w:tcW w:w="7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CEEFF"/>
          </w:tcPr>
          <w:p>
            <w:pPr>
              <w:spacing w:after="0"/>
              <w:rPr>
                <w:sz w:val="18"/>
                <w:szCs w:val="18"/>
                <w:color w:val="auto"/>
              </w:rPr>
            </w:pPr>
          </w:p>
        </w:tc>
      </w:tr>
      <w:tr>
        <w:trPr>
          <w:trHeight w:val="222"/>
        </w:trPr>
        <w:tc>
          <w:tcPr>
            <w:tcW w:w="73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3,101.2</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Prior to the maturity dates shown above, the majority of our mortgage loans have one or more specified rate resetting windows during which the loan typically can be prepaid without penalty. During these windows, we expect that a substantial portion of these loans will either be reset or refinanced at market terms given the current low interest rate environment. These loan features are considered in our asset-liability management and we align our expected mortgage loan cash flows and duration with the amount and timing of liability cash outflows. Additionally, our loan terms usually allow borrowers to prepay their mortgage loan prior to the stated maturity or outside specified rate resetting windows, subject to yield maintenance provisions. Prepayments are driven by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factors specific to the activities of our borrowers as well as the interest rate environment. However, we believe our yield maintenance provisions mitigate prepayments in a low interest rate environment.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 in Limited Partnerships — Tax Credit Investments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invest in limited partnership interests related to tax credit investments, which are typically 15-year investments that provide tax credits in the first ten years. We amortize these investments over the period in which partnership losses are expected to be recognized. The amortization schedule for each investment is updated periodically as new information related to the amount and timing of losses is received.</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Although these investments decrease our net investment income over time on a pre-tax basis, they provide us with significant tax benefits, which decrease our effective tax rate. The following table sets forth the impact the amortization of our investments and related tax credits had on net income:</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86"/>
              </w:rPr>
              <w:t>For the Years Ended December 31,</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CCEEFF"/>
            </w:tcBorders>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2012</w:t>
            </w:r>
          </w:p>
        </w:tc>
        <w:tc>
          <w:tcPr>
            <w:tcW w:w="6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Amortization related to tax credit investments, net of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440"/>
              <w:spacing w:after="0"/>
              <w:rPr>
                <w:sz w:val="20"/>
                <w:szCs w:val="20"/>
                <w:color w:val="auto"/>
              </w:rPr>
            </w:pPr>
            <w:r>
              <w:rPr>
                <w:rFonts w:ascii="Arial" w:cs="Arial" w:eastAsia="Arial" w:hAnsi="Arial"/>
                <w:sz w:val="18"/>
                <w:szCs w:val="18"/>
                <w:color w:val="auto"/>
              </w:rPr>
              <w:t>Realized losses related to tax credit investments, net of taxes</w:t>
            </w: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Tax credits</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160" w:type="dxa"/>
            <w:vAlign w:val="bottom"/>
            <w:gridSpan w:val="2"/>
          </w:tcPr>
          <w:p>
            <w:pPr>
              <w:spacing w:after="0"/>
              <w:rPr>
                <w:sz w:val="20"/>
                <w:szCs w:val="20"/>
                <w:color w:val="auto"/>
              </w:rPr>
            </w:pPr>
            <w:r>
              <w:rPr>
                <w:rFonts w:ascii="Arial" w:cs="Arial" w:eastAsia="Arial" w:hAnsi="Arial"/>
                <w:sz w:val="18"/>
                <w:szCs w:val="18"/>
                <w:color w:val="auto"/>
              </w:rPr>
              <w:t>Impact to 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6</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provides the future estimated impact to net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1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Impact</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to Net</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ind w:left="4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2013</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$ 25.7</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80" w:type="dxa"/>
            <w:vAlign w:val="bottom"/>
          </w:tcPr>
          <w:p>
            <w:pPr>
              <w:ind w:left="4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19.8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780" w:type="dxa"/>
            <w:vAlign w:val="bottom"/>
          </w:tcPr>
          <w:p>
            <w:pPr>
              <w:ind w:left="440"/>
              <w:spacing w:after="0"/>
              <w:rPr>
                <w:sz w:val="20"/>
                <w:szCs w:val="20"/>
                <w:color w:val="auto"/>
              </w:rPr>
            </w:pPr>
            <w:r>
              <w:rPr>
                <w:rFonts w:ascii="Arial" w:cs="Arial" w:eastAsia="Arial" w:hAnsi="Arial"/>
                <w:sz w:val="18"/>
                <w:szCs w:val="18"/>
                <w:color w:val="auto"/>
              </w:rPr>
              <w:t>2016 and beyond</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26.8</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Estimated impact to net income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$ 91.7</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tax credits from our investments in limited partnerships occur in the first 10 years, with the largest portions provided in the middle years. A significant amount of our investments are entering these middle years and we expect the impact to net income to continue to grow next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Symetra conducts its operations through its operating subsidiaries, and our liquidity requirements primarily have been and will continue to be met by funds from such subsidiaries. Dividends from its subsidiaries are Symetra’s principal sources of cash to pay dividends and meet its obligations, including payments of principal and interest on notes payable and tax obligations.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and intend to pay quarterly cash dividends on our common stock and warrants. During 2012, we declared and paid cash dividends of $0.28 per common share. The declaration and payment of future dividends to holders of our common stock and warrants will be at the discretion of our board of directors. See “— Dividends” below for further discussion.</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February 1, 2013, the board of directors authorized the repurchase of up to 10.0 shares of Symetra’s outstanding common stock. Symetra plans to fund this program mainly through dividends from its subsidiaries. Refer to Item 5 – “Market for Registrant’s Common Equity, Related Stockholder Matters and Issuer Purchases of Equity Securities” for further information about the repurchase program.</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459" w:right="2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actively manage our liquidity in light of changing market, economic and business conditions and we believe that our liquidity levels are more than adequate to cover our exposures, as evidenced by the following:</w:t>
      </w:r>
    </w:p>
    <w:p>
      <w:pPr>
        <w:spacing w:after="0" w:line="51" w:lineRule="exact"/>
        <w:rPr>
          <w:sz w:val="20"/>
          <w:szCs w:val="20"/>
          <w:color w:val="auto"/>
        </w:rPr>
      </w:pPr>
    </w:p>
    <w:p>
      <w:pPr>
        <w:ind w:left="900" w:right="8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of December 31, 2012, we had $23.4 billion of liquid assets, which includes cash, cash equivalents, short-term investments, publicly traded fixed maturities and equity securities.</w:t>
      </w:r>
    </w:p>
    <w:p>
      <w:pPr>
        <w:spacing w:after="0" w:line="5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While certain policy lapses and surrenders occur in the normal course of business, the current low interest rate environment has resulted in lower than expected lapses of our fixed annuities, as policyholders have limited alternatives to seek higher returns on their funds.</w:t>
      </w:r>
    </w:p>
    <w:p>
      <w:pPr>
        <w:spacing w:after="0" w:line="4"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of December 31, 2012, we had the ability to borrow, on an unsecured basis, up to a maximum principal amount of $300.0 under a revolving line of credit arrangement.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continued to generate strong cash flows from operations, which were $1,011.2 for 2012, $987.5 for 2011 and $925.7 for 2010.</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Although surrenders and withdrawals exceeded deposits in our Deferred Annuities segment during the second half of 2012, we were able to fund these withdrawals through readily available liquid assets.</w:t>
      </w:r>
    </w:p>
    <w:p>
      <w:pPr>
        <w:spacing w:after="0" w:line="5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of December 31, 2012, our primary life insurance company, Symetra Life Insurance Company, had a risk-based capital ratio of 486%. This provides adequate capital levels for growth of our business.</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During the fourth quarter 2012 we completed our cash flow testing to assess statutory reserve adequacy. As a result of our analysis, we established a $25.0 statutory reserve as of December 31, 2012, to address the risk related to low interest rates. The risk is mainly related to our structured settlement annuity and SPIA blocks of business, which represent long-duration liabilities that are interest rate sensitive. The testing was run over a set of deterministic and stochastic scenarios. The Company believes that the statutory reserves are adequate under a set of moderately adverse scenarios. This level of statutory reserve decreased statutory capital by $16.3 and reduced our risk-based capital ratio by four points. The $60.0 statutory reserve established as of December 31, 2011 was released in the first quarter of 2012, when a permanent valuation reserve of $60.0 was established. In the third quarter of 2012, this reserve was increased by $29.3. Neither the statutory reserve nor the permanent valuation reserve impacts our consolidated GAAP financial statements.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Requirements and Sources of Liquidity</w:t>
      </w:r>
    </w:p>
    <w:p>
      <w:pPr>
        <w:spacing w:after="0" w:line="90" w:lineRule="exact"/>
        <w:rPr>
          <w:sz w:val="20"/>
          <w:szCs w:val="20"/>
          <w:color w:val="auto"/>
        </w:rPr>
      </w:pPr>
    </w:p>
    <w:p>
      <w:pPr>
        <w:jc w:val="both"/>
        <w:ind w:right="140" w:firstLine="456"/>
        <w:spacing w:after="0" w:line="303" w:lineRule="auto"/>
        <w:rPr>
          <w:sz w:val="20"/>
          <w:szCs w:val="20"/>
          <w:color w:val="auto"/>
        </w:rPr>
      </w:pPr>
      <w:r>
        <w:rPr>
          <w:rFonts w:ascii="Arial" w:cs="Arial" w:eastAsia="Arial" w:hAnsi="Arial"/>
          <w:sz w:val="15"/>
          <w:szCs w:val="15"/>
          <w:color w:val="auto"/>
        </w:rPr>
        <w:t>The liquidity requirements of Symetra’s insurance subsidiaries principally relate to the liabilities associated with their insurance and investment products, operating costs and expenses, the payment of dividends to the holding company, and payment of income taxes. Liabilities arising from insurance and investment products include the payment of benefits, as well as cash payments in connection with policy and contract surrenders and withdrawals and policy loans.</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Historically, Symetra’s insurance subsidiaries have used cash flows from operations, cash flows from invested assets and sales of investment securities to fund their liquidity requirements.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managing the liquidity of our insurance operations, we also consider the risk of policyholder and contract holder withdrawals of funds earlier than assumed when selecting assets to support these contractual obligations. We use surrender charges and other contract provisions to mitigate the extent, timing and profitability impact of withdrawals of funds by customers from annuity contracts and deposit liabilities. The following table sets forth withdrawal characteristics of our general account policyholder liabilities, composed of annuity reserves, deposit liabilities and policy and contract claim liabilities, net of reinsurance recoverables: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w w:val="92"/>
              </w:rPr>
              <w:t>As of December 31, 2012</w:t>
            </w:r>
          </w:p>
        </w:tc>
        <w:tc>
          <w:tcPr>
            <w:tcW w:w="100" w:type="dxa"/>
            <w:vAlign w:val="bottom"/>
          </w:tcPr>
          <w:p>
            <w:pPr>
              <w:spacing w:after="0"/>
              <w:rPr>
                <w:sz w:val="14"/>
                <w:szCs w:val="14"/>
                <w:color w:val="auto"/>
              </w:rPr>
            </w:pPr>
          </w:p>
        </w:tc>
        <w:tc>
          <w:tcPr>
            <w:tcW w:w="19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2"/>
              </w:rPr>
              <w:t>As of December 31,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 of</w:t>
            </w:r>
          </w:p>
        </w:tc>
        <w:tc>
          <w:tcPr>
            <w:tcW w:w="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2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0"/>
              </w:rPr>
              <w:t>Amount</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Illiquid Liabilities</w:t>
            </w: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860"/>
              <w:spacing w:after="0"/>
              <w:rPr>
                <w:sz w:val="20"/>
                <w:szCs w:val="20"/>
                <w:color w:val="auto"/>
              </w:rPr>
            </w:pPr>
            <w:r>
              <w:rPr>
                <w:rFonts w:ascii="Arial" w:cs="Arial" w:eastAsia="Arial" w:hAnsi="Arial"/>
                <w:sz w:val="18"/>
                <w:szCs w:val="18"/>
                <w:color w:val="auto"/>
              </w:rPr>
              <w:t>Structured settlements &amp; other SPIAs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6,585.8</w:t>
            </w:r>
          </w:p>
        </w:tc>
        <w:tc>
          <w:tcPr>
            <w:tcW w:w="56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28.2%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6,605.4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Deferred annuities with 5-year payout provision or MVA (2)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372.3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860"/>
              <w:spacing w:after="0"/>
              <w:rPr>
                <w:sz w:val="20"/>
                <w:szCs w:val="20"/>
                <w:color w:val="auto"/>
              </w:rPr>
            </w:pPr>
            <w:r>
              <w:rPr>
                <w:rFonts w:ascii="Arial" w:cs="Arial" w:eastAsia="Arial" w:hAnsi="Arial"/>
                <w:sz w:val="18"/>
                <w:szCs w:val="18"/>
                <w:color w:val="auto"/>
              </w:rPr>
              <w:t>Traditional insurance (net of reinsurance) (3)</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175.0</w:t>
            </w:r>
          </w:p>
        </w:tc>
        <w:tc>
          <w:tcPr>
            <w:tcW w:w="56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180.1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Group health &amp; life (net of reinsurance) (3)</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127.5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illiquid liabilities</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7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7,196.8</w:t>
            </w:r>
          </w:p>
        </w:tc>
        <w:tc>
          <w:tcPr>
            <w:tcW w:w="560" w:type="dxa"/>
            <w:vAlign w:val="bottom"/>
          </w:tcPr>
          <w:p>
            <w:pPr>
              <w:spacing w:after="0"/>
              <w:rPr>
                <w:sz w:val="19"/>
                <w:szCs w:val="19"/>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7,285.3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140" w:type="dxa"/>
            <w:vAlign w:val="bottom"/>
          </w:tcPr>
          <w:p>
            <w:pPr>
              <w:spacing w:after="0"/>
              <w:rPr>
                <w:sz w:val="6"/>
                <w:szCs w:val="6"/>
                <w:color w:val="auto"/>
              </w:rPr>
            </w:pPr>
          </w:p>
        </w:tc>
        <w:tc>
          <w:tcPr>
            <w:tcW w:w="5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Somewhat Liquid Liabilities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860"/>
              <w:spacing w:after="0"/>
              <w:rPr>
                <w:sz w:val="20"/>
                <w:szCs w:val="20"/>
                <w:color w:val="auto"/>
              </w:rPr>
            </w:pPr>
            <w:r>
              <w:rPr>
                <w:rFonts w:ascii="Arial" w:cs="Arial" w:eastAsia="Arial" w:hAnsi="Arial"/>
                <w:sz w:val="18"/>
                <w:szCs w:val="18"/>
                <w:color w:val="auto"/>
              </w:rPr>
              <w:t>BOLI (4)</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4,748.3</w:t>
            </w:r>
          </w:p>
        </w:tc>
        <w:tc>
          <w:tcPr>
            <w:tcW w:w="56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4,575.9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Deferred annuities with surrender charges of 5% or higher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6,417.4</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6,984.4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860"/>
              <w:spacing w:after="0"/>
              <w:rPr>
                <w:sz w:val="20"/>
                <w:szCs w:val="20"/>
                <w:color w:val="auto"/>
              </w:rPr>
            </w:pPr>
            <w:r>
              <w:rPr>
                <w:rFonts w:ascii="Arial" w:cs="Arial" w:eastAsia="Arial" w:hAnsi="Arial"/>
                <w:sz w:val="18"/>
                <w:szCs w:val="18"/>
                <w:color w:val="auto"/>
              </w:rPr>
              <w:t>Universal life with surrender charges of 5% or higher</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285.3</w:t>
            </w:r>
          </w:p>
        </w:tc>
        <w:tc>
          <w:tcPr>
            <w:tcW w:w="56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250.5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somewhat liquid liabilities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11,451.0</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11,810.8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83"/>
        </w:trPr>
        <w:tc>
          <w:tcPr>
            <w:tcW w:w="6740" w:type="dxa"/>
            <w:vAlign w:val="bottom"/>
            <w:gridSpan w:val="3"/>
          </w:tcPr>
          <w:p>
            <w:pPr>
              <w:spacing w:after="0"/>
              <w:rPr>
                <w:sz w:val="20"/>
                <w:szCs w:val="20"/>
                <w:color w:val="auto"/>
              </w:rPr>
            </w:pPr>
            <w:r>
              <w:rPr>
                <w:rFonts w:ascii="Arial" w:cs="Arial" w:eastAsia="Arial" w:hAnsi="Arial"/>
                <w:sz w:val="18"/>
                <w:szCs w:val="18"/>
                <w:b w:val="1"/>
                <w:bCs w:val="1"/>
                <w:color w:val="auto"/>
              </w:rPr>
              <w:t>Fully Liquid Liabilities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Deferred annuities with surrender charges of:</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580" w:type="dxa"/>
            <w:vAlign w:val="bottom"/>
          </w:tcPr>
          <w:p>
            <w:pPr>
              <w:ind w:left="140"/>
              <w:spacing w:after="0"/>
              <w:rPr>
                <w:sz w:val="20"/>
                <w:szCs w:val="20"/>
                <w:color w:val="auto"/>
              </w:rPr>
            </w:pPr>
            <w:r>
              <w:rPr>
                <w:rFonts w:ascii="Arial" w:cs="Arial" w:eastAsia="Arial" w:hAnsi="Arial"/>
                <w:sz w:val="18"/>
                <w:szCs w:val="18"/>
                <w:color w:val="auto"/>
              </w:rPr>
              <w:t>3% up to 5%</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1,369.3</w:t>
            </w:r>
          </w:p>
        </w:tc>
        <w:tc>
          <w:tcPr>
            <w:tcW w:w="56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710.7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than 3%</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142.9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580" w:type="dxa"/>
            <w:vAlign w:val="bottom"/>
          </w:tcPr>
          <w:p>
            <w:pPr>
              <w:ind w:left="140"/>
              <w:spacing w:after="0"/>
              <w:rPr>
                <w:sz w:val="20"/>
                <w:szCs w:val="20"/>
                <w:color w:val="auto"/>
              </w:rPr>
            </w:pPr>
            <w:r>
              <w:rPr>
                <w:rFonts w:ascii="Arial" w:cs="Arial" w:eastAsia="Arial" w:hAnsi="Arial"/>
                <w:sz w:val="18"/>
                <w:szCs w:val="18"/>
                <w:color w:val="auto"/>
              </w:rPr>
              <w:t>No surrender charges (5)</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2,642.8</w:t>
            </w:r>
          </w:p>
        </w:tc>
        <w:tc>
          <w:tcPr>
            <w:tcW w:w="56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2,346.9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Universal life with surrender charges less than 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444.8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860"/>
              <w:spacing w:after="0"/>
              <w:rPr>
                <w:sz w:val="20"/>
                <w:szCs w:val="20"/>
                <w:color w:val="auto"/>
              </w:rPr>
            </w:pPr>
            <w:r>
              <w:rPr>
                <w:rFonts w:ascii="Arial" w:cs="Arial" w:eastAsia="Arial" w:hAnsi="Arial"/>
                <w:sz w:val="18"/>
                <w:szCs w:val="18"/>
                <w:color w:val="auto"/>
              </w:rPr>
              <w:t>Other (6)</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32.7</w:t>
            </w:r>
          </w:p>
        </w:tc>
        <w:tc>
          <w:tcPr>
            <w:tcW w:w="56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37.3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fully liquid liabilities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4,742.1</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3,682.6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8"/>
                <w:szCs w:val="18"/>
                <w:color w:val="auto"/>
              </w:rPr>
              <w:t>Total (7)</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gridSpan w:val="3"/>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23,389.9</w:t>
            </w:r>
          </w:p>
        </w:tc>
        <w:tc>
          <w:tcPr>
            <w:tcW w:w="560" w:type="dxa"/>
            <w:vAlign w:val="bottom"/>
          </w:tcPr>
          <w:p>
            <w:pPr>
              <w:spacing w:after="0"/>
              <w:rPr>
                <w:sz w:val="19"/>
                <w:szCs w:val="19"/>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22,778.7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These contracts cannot be surrendered. The benefits are specified in the contracts as fixed amounts, primarily to be paid over the next several decades.</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a liquidity crisis situation, we could invoke the five-year payout provision so that the contract value with interest is paid out ratably over five years.</w:t>
      </w:r>
    </w:p>
    <w:p>
      <w:pPr>
        <w:spacing w:after="0" w:line="32" w:lineRule="exact"/>
        <w:rPr>
          <w:rFonts w:ascii="Arial" w:cs="Arial" w:eastAsia="Arial" w:hAnsi="Arial"/>
          <w:sz w:val="16"/>
          <w:szCs w:val="16"/>
          <w:color w:val="auto"/>
        </w:rPr>
      </w:pPr>
    </w:p>
    <w:p>
      <w:pPr>
        <w:ind w:left="460" w:right="160" w:hanging="452"/>
        <w:spacing w:after="0" w:line="300" w:lineRule="auto"/>
        <w:tabs>
          <w:tab w:leader="none" w:pos="4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Represents incurred but not reported claim liabilities, mainly related to our medical stop-loss business. The surrender value on these contracts is generally zero but these liabilities are considered illiquid as the claims have not been reported to us and the precise timing and amount of the payment is unknown.</w:t>
      </w:r>
    </w:p>
    <w:p>
      <w:pPr>
        <w:jc w:val="both"/>
        <w:ind w:left="460" w:right="80" w:hanging="452"/>
        <w:spacing w:after="0" w:line="250"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biggest deterrent to surrender is the taxation on the gain within these contracts, which includes a 10% non-deductible penalty tax. Banks can exchange certain of these contracts with other carriers, tax-free. However, a significant portion of this business does not qualify for this tax-free treatment due to the employment status of the original covered employees and charges may be applicable.</w:t>
      </w:r>
    </w:p>
    <w:p>
      <w:pPr>
        <w:spacing w:after="0" w:line="1"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Approximately half of the account value has been with us for many years, due to guaranteed minimum interest rates of 4.0 – 4.5% that are significantly higher than those currently offered on new business, which range from 1.0 – 1.5%. Given the current low interest rate environment, we do not expect significant changes in the persistency of this business.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BOLI, traditional insurance, medical stop-loss and group life reported claim liabilities.</w:t>
      </w:r>
    </w:p>
    <w:p>
      <w:pPr>
        <w:spacing w:after="0" w:line="9" w:lineRule="exact"/>
        <w:rPr>
          <w:rFonts w:ascii="Arial" w:cs="Arial" w:eastAsia="Arial" w:hAnsi="Arial"/>
          <w:sz w:val="18"/>
          <w:szCs w:val="18"/>
          <w:color w:val="auto"/>
        </w:rPr>
      </w:pPr>
    </w:p>
    <w:p>
      <w:pPr>
        <w:jc w:val="both"/>
        <w:ind w:left="460" w:right="640" w:hanging="452"/>
        <w:spacing w:after="0" w:line="361" w:lineRule="auto"/>
        <w:tabs>
          <w:tab w:leader="none" w:pos="4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Represents the sum of funds held under deposit contracts, future policy benefits and policy and contract claims on the consolidated balance sheets, excluding other policyholder related liabilities and reinsurance recoverables of $206.0 and $232.9 as of December 31, 2012 and 2011, respectively.</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 Assets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Symetra’s insurance subsidiaries maintain investment strategies intended to provide adequate funds to pay benefits without forced sales of investments. Products having liabilities with longer durations, such as certain life insurance policies and structured settlement annuities, are matched with investments having similar estimated lives such as long-term fixed maturities, mortgage loans and marketable equity securities. Shorter-term liabilities are matched with fixed maturities that have short- and medium-terms. In addition, our insurance subsidiaries hold highly liquid, high quality, shorter-term investment securities and other liquid investment-grade fixed maturities and cash equivalents to fund anticipated operating expenses, surrenders and withdrawals.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define liquid assets to include cash, cash equivalents, short-term investments, publicly traded fixed maturities and public equity securities. As of December 31, 2012 and 2011, our insurance subsidiaries had liquid assets of $23.3 billion and $22.5 billion, respectively, and Symetra had liquid assets of $77.6 and $114.6, respectively. The portion of total company liquid assets comprised of cash and cash equivalents and short-term investments was $136.7 and $245.1 as of December 31, 2012 and 2011, respectively. The increase in our insurance subsidiaries’ liquid assets was primarily the result of sales of deferred annuities during 2012.</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consider attributes of the various categories of liquid assets (for example, type of asset and credit quality) in evaluating the adequacy of our insurance operations’ liquidity under a variety of stress scenarios. We believe that the liquidity profile of our assets is sufficient to satisfy liquidity requirements, including under foreseeable stress scenarios.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Given the size and liquidity profile of our investment portfolio, we believe that claim experience varying from our projections does not constitute a significant liquidity risk. Our asset/liability management process takes into account the expected cash flows on investments and expected claim payments as well as the specific nature and risk profile of the liabilities. Historically, there has been limited variation between the expected cash flows on our investments and the payment of claims.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capital structure consists of notes payable and stockholders’ equity. The following table summarizes our capital structure:</w:t>
      </w:r>
    </w:p>
    <w:p>
      <w:pPr>
        <w:spacing w:after="0" w:line="30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ind w:left="280"/>
              <w:spacing w:after="0"/>
              <w:rPr>
                <w:sz w:val="20"/>
                <w:szCs w:val="20"/>
                <w:color w:val="auto"/>
              </w:rPr>
            </w:pPr>
            <w:r>
              <w:rPr>
                <w:rFonts w:ascii="Arial" w:cs="Arial" w:eastAsia="Arial" w:hAnsi="Arial"/>
                <w:sz w:val="14"/>
                <w:szCs w:val="14"/>
                <w:b w:val="1"/>
                <w:bCs w:val="1"/>
                <w:color w:val="auto"/>
              </w:rPr>
              <w:t>As of December 31,</w:t>
            </w: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CEEFF"/>
            </w:tcBorders>
          </w:tcPr>
          <w:p>
            <w:pPr>
              <w:spacing w:after="0"/>
              <w:rPr>
                <w:sz w:val="19"/>
                <w:szCs w:val="19"/>
                <w:color w:val="auto"/>
              </w:rPr>
            </w:pPr>
          </w:p>
        </w:tc>
        <w:tc>
          <w:tcPr>
            <w:tcW w:w="244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Notes payable</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Stockholders’ equity</w:t>
            </w:r>
          </w:p>
        </w:tc>
        <w:tc>
          <w:tcPr>
            <w:tcW w:w="2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3,630.1</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3,114.9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capital</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4,079.5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3,564.1</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capitalization increased $515.4 as of December 31, 2012, as compared to December 31, 2011 due to an increase in stockholders’ equity from our net income of $205.4 and a $343.9 increase in AOCI, primarily driven by an increase in the fair value of our available-for-sale securities due mainly to declines in interest rates. We believe our capital level provides us flexibility to execute our capital management strategies. These include supporting our stock repurchase program and continuing to capitalize on organic growth, as well as pursuing acquisition opportunities.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debt instruments: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Maximum</w:t>
            </w:r>
          </w:p>
        </w:tc>
        <w:tc>
          <w:tcPr>
            <w:tcW w:w="400" w:type="dxa"/>
            <w:vAlign w:val="bottom"/>
          </w:tcPr>
          <w:p>
            <w:pPr>
              <w:spacing w:after="0"/>
              <w:rPr>
                <w:sz w:val="14"/>
                <w:szCs w:val="14"/>
                <w:color w:val="auto"/>
              </w:rPr>
            </w:pPr>
          </w:p>
        </w:tc>
        <w:tc>
          <w:tcPr>
            <w:tcW w:w="15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Amount</w:t>
            </w:r>
          </w:p>
        </w:tc>
      </w:tr>
      <w:tr>
        <w:trPr>
          <w:trHeight w:val="161"/>
        </w:trPr>
        <w:tc>
          <w:tcPr>
            <w:tcW w:w="6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Amount Available</w:t>
            </w:r>
          </w:p>
        </w:tc>
        <w:tc>
          <w:tcPr>
            <w:tcW w:w="400" w:type="dxa"/>
            <w:vAlign w:val="bottom"/>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100" w:type="dxa"/>
            <w:vAlign w:val="bottom"/>
          </w:tcPr>
          <w:p>
            <w:pPr>
              <w:spacing w:after="0"/>
              <w:rPr>
                <w:sz w:val="14"/>
                <w:szCs w:val="14"/>
                <w:color w:val="auto"/>
              </w:rPr>
            </w:pPr>
          </w:p>
        </w:tc>
      </w:tr>
      <w:tr>
        <w:trPr>
          <w:trHeight w:val="223"/>
        </w:trPr>
        <w:tc>
          <w:tcPr>
            <w:tcW w:w="6820" w:type="dxa"/>
            <w:vAlign w:val="bottom"/>
          </w:tcPr>
          <w:p>
            <w:pPr>
              <w:spacing w:after="0"/>
              <w:rPr>
                <w:sz w:val="19"/>
                <w:szCs w:val="19"/>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Maturity</w:t>
            </w: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As of December 31,</w:t>
            </w:r>
          </w:p>
        </w:tc>
        <w:tc>
          <w:tcPr>
            <w:tcW w:w="400" w:type="dxa"/>
            <w:vAlign w:val="bottom"/>
          </w:tcPr>
          <w:p>
            <w:pPr>
              <w:spacing w:after="0"/>
              <w:rPr>
                <w:sz w:val="19"/>
                <w:szCs w:val="19"/>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As of December 31,</w:t>
            </w:r>
          </w:p>
        </w:tc>
        <w:tc>
          <w:tcPr>
            <w:tcW w:w="100" w:type="dxa"/>
            <w:vAlign w:val="bottom"/>
          </w:tcPr>
          <w:p>
            <w:pPr>
              <w:spacing w:after="0"/>
              <w:rPr>
                <w:sz w:val="19"/>
                <w:szCs w:val="19"/>
                <w:color w:val="auto"/>
              </w:rPr>
            </w:pPr>
          </w:p>
        </w:tc>
      </w:tr>
      <w:tr>
        <w:trPr>
          <w:trHeight w:val="223"/>
        </w:trPr>
        <w:tc>
          <w:tcPr>
            <w:tcW w:w="6820" w:type="dxa"/>
            <w:vAlign w:val="bottom"/>
          </w:tcPr>
          <w:p>
            <w:pPr>
              <w:spacing w:after="0"/>
              <w:rPr>
                <w:sz w:val="19"/>
                <w:szCs w:val="19"/>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Date</w:t>
            </w: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2012</w:t>
            </w:r>
          </w:p>
        </w:tc>
        <w:tc>
          <w:tcPr>
            <w:tcW w:w="8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900" w:type="dxa"/>
            <w:vAlign w:val="bottom"/>
            <w:gridSpan w:val="2"/>
          </w:tcPr>
          <w:p>
            <w:pPr>
              <w:jc w:val="right"/>
              <w:ind w:right="47"/>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9"/>
                <w:szCs w:val="19"/>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9"/>
                <w:szCs w:val="19"/>
                <w:color w:val="auto"/>
              </w:rPr>
            </w:pP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Description:</w:t>
            </w:r>
          </w:p>
        </w:tc>
        <w:tc>
          <w:tcPr>
            <w:tcW w:w="8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Senior notes payable</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4/1/2016</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$300.0</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$300.0</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Capital Efficient Notes (CENts)</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10/15/2067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150.0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Revolving credit facility — JPMorgan Chase Bank, N.A.</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12/14/2015</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400" w:type="dxa"/>
            <w:vAlign w:val="bottom"/>
          </w:tcPr>
          <w:p>
            <w:pPr>
              <w:spacing w:after="0"/>
              <w:rPr>
                <w:sz w:val="19"/>
                <w:szCs w:val="19"/>
                <w:color w:val="auto"/>
              </w:rPr>
            </w:pPr>
          </w:p>
        </w:tc>
        <w:tc>
          <w:tcPr>
            <w:tcW w:w="500" w:type="dxa"/>
            <w:vAlign w:val="bottom"/>
            <w:tcBorders>
              <w:bottom w:val="single" w:sz="8" w:color="auto"/>
            </w:tcBorders>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notes payable and revolving credit facility</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750.0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750.0</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450.0</w:t>
            </w:r>
          </w:p>
        </w:tc>
        <w:tc>
          <w:tcPr>
            <w:tcW w:w="100" w:type="dxa"/>
            <w:vAlign w:val="bottom"/>
            <w:shd w:val="clear" w:color="auto" w:fill="CCEEFF"/>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Notes Due 2016</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On March 30, 2006, we issued $300.0 of 6.125% senior notes due April 1, 2016, which were issued at a discount yielding $298.7. Interest on the senior notes is payable semiannually in arrears, beginning on October 2, 2006. The senior notes do not contain any financial covenants or any provisions restricting us from purchasing or redeeming capital stock, paying dividends or entering into a highly leveraged transaction, reorganization, restructuring, merger or similar transaction. In addition, we are not required to repurchase, redeem or modify the terms of any of the senior notes upon a change of control or other event involving Symetra.</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Efficient Notes Due 2067</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October 10, 2007, we issued $150.0 aggregate principal amount CENts with a scheduled maturity date of October 15, 2037 and, subject to certain limitations, with a final maturity date of October 15, 2067. We issued the CENts at a discount yielding $149.8. For the initial ten-year period following the original issuance date, to but not including October 15, 2017, the CENts carry a fixed interest rate of 8.300% payable semi-annually. From October 15, 2017 until the final maturity date of October 15, 2067, interest on the CENts will accrue at a variable annual rate equal to the three-month LIBOR plus 4.177%, payable quarterly.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On December 14, 2011, we entered into a $300.0 senior unsecured revolving credit agreement with a syndicate of lending institutions led by JPMorgan Chase Bank, N.A. The credit facility, which replaced a previous $200.0 facility, also provides access up to an additional $100.0 of financing, subject to the availability of additional commitments. The credit facility matures on December 14, 2015, and loans under this facility bear interest at a variable annual rate based on adjusted LIBOR or the alternate base rate (“ABR”) plus an applicable margin. This facility requires us to maintain specified financial ratios, and includes other customary restrictive and affirmative covenants. This revolving credit facility is available to provide support for working capital, capital expenditures and other general corporate purposes as needed.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 description of additional terms of our debt facilities, see Note 12 to the consolidated financial statements.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 and Regulatory Requirements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payment of dividends and other distributions to Symetra by its insurance subsidiaries is controlled by insurance laws and regulations. In general, dividends in excess of prescribed limits are deemed “extraordinary” and require insurance regulatory approval. During the years ended December 31, 2012, 2011 and 2010, Symetra received dividends of $80.0, $52.0, and $40.0, respectively, from its insurance subsidiaries. We expect dividends to increase in the future to support the stock repurchase program. Based on our statutory results, as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Symetra’s insurance subsidiaries may pay it dividends of up to $282.2 during 2013 without needing to obtain regulatory approval.</w:t>
      </w:r>
    </w:p>
    <w:p>
      <w:pPr>
        <w:spacing w:after="0" w:line="19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declared and paid a quarterly dividend of $0.07 per common share to shareholders and warrant holders during each quarter of 2012, for a total payout of $38.8.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consolidated cash flows for the dates indicated: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8"/>
              </w:rPr>
              <w:t>For the Years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2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flows provided by operating activities</w:t>
            </w: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$1,011.2</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987.5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925.7</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Net cash flows used in investing activities</w:t>
            </w:r>
          </w:p>
        </w:tc>
        <w:tc>
          <w:tcPr>
            <w:tcW w:w="2820" w:type="dxa"/>
            <w:vAlign w:val="bottom"/>
            <w:gridSpan w:val="3"/>
          </w:tcPr>
          <w:p>
            <w:pPr>
              <w:jc w:val="right"/>
              <w:ind w:right="552"/>
              <w:spacing w:after="0"/>
              <w:rPr>
                <w:sz w:val="20"/>
                <w:szCs w:val="20"/>
                <w:color w:val="auto"/>
              </w:rPr>
            </w:pPr>
            <w:r>
              <w:rPr>
                <w:rFonts w:ascii="Arial" w:cs="Arial" w:eastAsia="Arial" w:hAnsi="Arial"/>
                <w:sz w:val="18"/>
                <w:szCs w:val="18"/>
                <w:color w:val="auto"/>
              </w:rPr>
              <w:t>(869.3)</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(1,647.9)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(2,456.8)</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(used in) financing activities</w:t>
            </w:r>
          </w:p>
        </w:tc>
        <w:tc>
          <w:tcPr>
            <w:tcW w:w="2820" w:type="dxa"/>
            <w:vAlign w:val="bottom"/>
            <w:gridSpan w:val="3"/>
            <w:shd w:val="clear" w:color="auto" w:fill="CCEEFF"/>
          </w:tcPr>
          <w:p>
            <w:pPr>
              <w:jc w:val="right"/>
              <w:ind w:right="552"/>
              <w:spacing w:after="0"/>
              <w:rPr>
                <w:sz w:val="20"/>
                <w:szCs w:val="20"/>
                <w:color w:val="auto"/>
              </w:rPr>
            </w:pPr>
            <w:r>
              <w:rPr>
                <w:rFonts w:ascii="Arial" w:cs="Arial" w:eastAsia="Arial" w:hAnsi="Arial"/>
                <w:sz w:val="18"/>
                <w:szCs w:val="18"/>
                <w:color w:val="auto"/>
              </w:rPr>
              <w:t>(253.4)</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1,547.9</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Cash flows from our operating activities are primarily driven by the amounts and timing of cash received for income on our investments, including dividends and interest, and premiums on our group insurance and term life insurance products, as well as the amounts and timing of cash disbursed for our payment of policyholder benefits and claims, underwriting and operating expenses and income taxes. The following discussion highlights key drivers in the level of cash flows generated from our operating activities:</w:t>
      </w:r>
    </w:p>
    <w:p>
      <w:pPr>
        <w:spacing w:after="0" w:line="62" w:lineRule="exact"/>
        <w:rPr>
          <w:sz w:val="20"/>
          <w:szCs w:val="20"/>
          <w:color w:val="auto"/>
        </w:rPr>
      </w:pPr>
    </w:p>
    <w:p>
      <w:pPr>
        <w:ind w:left="900" w:hanging="325"/>
        <w:spacing w:after="0" w:line="298"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Years Ended December 31, 2012 and 2011. </w:t>
      </w:r>
      <w:r>
        <w:rPr>
          <w:rFonts w:ascii="Arial" w:cs="Arial" w:eastAsia="Arial" w:hAnsi="Arial"/>
          <w:sz w:val="16"/>
          <w:szCs w:val="16"/>
          <w:color w:val="auto"/>
        </w:rPr>
        <w:t>Net cash provided by operating activities for 2012 increased $23.7 over the same period in 2011. This</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the result of the increase in premiums from our growing book of medical stop-loss business outpacing the increase in medical stop-loss paid claims, an increase in net investment income driven by higher average assets and a lower commission expense due to lower sales of fixed annuities. The increase was partially offset by higher operating expenses related to our Grow &amp; Diversify strategies.</w:t>
      </w:r>
    </w:p>
    <w:p>
      <w:pPr>
        <w:spacing w:after="0" w:line="31" w:lineRule="exact"/>
        <w:rPr>
          <w:rFonts w:ascii="Arial" w:cs="Arial" w:eastAsia="Arial" w:hAnsi="Arial"/>
          <w:sz w:val="16"/>
          <w:szCs w:val="16"/>
          <w:color w:val="auto"/>
        </w:rPr>
      </w:pPr>
    </w:p>
    <w:p>
      <w:pPr>
        <w:ind w:left="900" w:right="180" w:hanging="325"/>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Years Ended December 31, 2011 and 2010. </w:t>
      </w:r>
      <w:r>
        <w:rPr>
          <w:rFonts w:ascii="Arial" w:cs="Arial" w:eastAsia="Arial" w:hAnsi="Arial"/>
          <w:sz w:val="18"/>
          <w:szCs w:val="18"/>
          <w:color w:val="auto"/>
        </w:rPr>
        <w:t>Net cash provided by operating activities for 2011 increased $61.8 over 2010. This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increased net investment income driven by an increase in average assets. In addition, the increase in premiums from our medical stop-loss and limited benefits medical products outpaced the increase in paid claims.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Cash flows from our investing activities are primarily driven by the amount and timing of cash received from maturities and calls of fixed maturity securities, sales of investments and maturities of mortgage loans, as well as the amount and timing of cash disbursed for purchases of investments and funding of mortgage loan originations. Generally, the amount and timing of our purchases of investments correlate to sales of annuity and life insurance policies, which are recorded as cash inflows from financing activities. The amount and timing of cash inflows from investments generally correlate to amounts needed to fund policyholder obligations. The following discussion highlights key drivers in the level of cash flows used in our investing activities:</w:t>
      </w:r>
    </w:p>
    <w:p>
      <w:pPr>
        <w:spacing w:after="0" w:line="35" w:lineRule="exact"/>
        <w:rPr>
          <w:sz w:val="20"/>
          <w:szCs w:val="20"/>
          <w:color w:val="auto"/>
        </w:rPr>
      </w:pPr>
    </w:p>
    <w:p>
      <w:pPr>
        <w:ind w:left="900" w:right="20" w:hanging="325"/>
        <w:spacing w:after="0" w:line="259"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Years Ended December 31, 2012 and 2011. </w:t>
      </w:r>
      <w:r>
        <w:rPr>
          <w:rFonts w:ascii="Arial" w:cs="Arial" w:eastAsia="Arial" w:hAnsi="Arial"/>
          <w:sz w:val="18"/>
          <w:szCs w:val="18"/>
          <w:color w:val="auto"/>
        </w:rPr>
        <w:t>Net cash used in investing activities decreased $778.6 compared to 2011. This decrease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higher sales of fixed maturities, related to active management of our portfolio to increase investment yields, and lower originations of mortgage loans.</w:t>
      </w:r>
    </w:p>
    <w:p>
      <w:pPr>
        <w:spacing w:after="0" w:line="59" w:lineRule="exact"/>
        <w:rPr>
          <w:rFonts w:ascii="Arial" w:cs="Arial" w:eastAsia="Arial" w:hAnsi="Arial"/>
          <w:sz w:val="18"/>
          <w:szCs w:val="18"/>
          <w:color w:val="auto"/>
        </w:rPr>
      </w:pPr>
    </w:p>
    <w:p>
      <w:pPr>
        <w:ind w:left="900" w:right="180" w:hanging="325"/>
        <w:spacing w:after="0" w:line="256"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Years Ended December 31, 2011 and 2010. </w:t>
      </w:r>
      <w:r>
        <w:rPr>
          <w:rFonts w:ascii="Arial" w:cs="Arial" w:eastAsia="Arial" w:hAnsi="Arial"/>
          <w:sz w:val="18"/>
          <w:szCs w:val="18"/>
          <w:color w:val="auto"/>
        </w:rPr>
        <w:t>Net cash used in investing activities for 2011 decreased $808.9 over 2010. This decrease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the result of decreased purchases of fixed maturities, partially offset by increased mortgage loan originations. In addition, we strategically sold certain CMO securities during 2011 due to prepayment volatility and lower yielding fixed maturities, and increased our investments in mortgage loans to improve overall yields.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Cash flows from our financing activities are primarily driven by the amounts and timing of cash received from deposits into certain life insurance and annuity policies and proceeds from our issuances of common stock, as well as the amounts and timing of cash disbursed to fund withdrawals from certain life insurance and annuity policies, and dividend distributions to our stock and warrant holders. The following discussion highlights key drivers in the level of cash flows from our financing activities:</w:t>
      </w:r>
    </w:p>
    <w:p>
      <w:pPr>
        <w:spacing w:after="0" w:line="62" w:lineRule="exact"/>
        <w:rPr>
          <w:sz w:val="20"/>
          <w:szCs w:val="20"/>
          <w:color w:val="auto"/>
        </w:rPr>
      </w:pPr>
    </w:p>
    <w:p>
      <w:pPr>
        <w:ind w:left="900" w:right="200" w:hanging="325"/>
        <w:spacing w:after="0" w:line="335" w:lineRule="auto"/>
        <w:tabs>
          <w:tab w:leader="none" w:pos="900" w:val="left"/>
        </w:tabs>
        <w:numPr>
          <w:ilvl w:val="0"/>
          <w:numId w:val="68"/>
        </w:numPr>
        <w:rPr>
          <w:rFonts w:ascii="Arial" w:cs="Arial" w:eastAsia="Arial" w:hAnsi="Arial"/>
          <w:sz w:val="15"/>
          <w:szCs w:val="15"/>
          <w:color w:val="auto"/>
        </w:rPr>
      </w:pPr>
      <w:r>
        <w:rPr>
          <w:rFonts w:ascii="Arial" w:cs="Arial" w:eastAsia="Arial" w:hAnsi="Arial"/>
          <w:sz w:val="15"/>
          <w:szCs w:val="15"/>
          <w:i w:val="1"/>
          <w:iCs w:val="1"/>
          <w:color w:val="auto"/>
        </w:rPr>
        <w:t xml:space="preserve">Years Ended December 31, 2012 and 2011. </w:t>
      </w:r>
      <w:r>
        <w:rPr>
          <w:rFonts w:ascii="Arial" w:cs="Arial" w:eastAsia="Arial" w:hAnsi="Arial"/>
          <w:sz w:val="15"/>
          <w:szCs w:val="15"/>
          <w:color w:val="auto"/>
        </w:rPr>
        <w:t>Net cash used in financing activities for 2012 was $253.4, in comparison to cash provided by financing</w:t>
      </w:r>
      <w:r>
        <w:rPr>
          <w:rFonts w:ascii="Arial" w:cs="Arial" w:eastAsia="Arial" w:hAnsi="Arial"/>
          <w:sz w:val="15"/>
          <w:szCs w:val="15"/>
          <w:i w:val="1"/>
          <w:iCs w:val="1"/>
          <w:color w:val="auto"/>
        </w:rPr>
        <w:t xml:space="preserve"> </w:t>
      </w:r>
      <w:r>
        <w:rPr>
          <w:rFonts w:ascii="Arial" w:cs="Arial" w:eastAsia="Arial" w:hAnsi="Arial"/>
          <w:sz w:val="15"/>
          <w:szCs w:val="15"/>
          <w:color w:val="auto"/>
        </w:rPr>
        <w:t>activities of $628.1 in 2011. This change was primarily driven by lower policyholder deposits, mainly related to fixed annuities. In addition, there were higher deferred annuity policyholder withdrawals in 2012 compared to 2011 as policies move out of the surrender charge period.</w:t>
      </w:r>
    </w:p>
    <w:p>
      <w:pPr>
        <w:spacing w:after="0" w:line="7" w:lineRule="exact"/>
        <w:rPr>
          <w:rFonts w:ascii="Arial" w:cs="Arial" w:eastAsia="Arial" w:hAnsi="Arial"/>
          <w:sz w:val="15"/>
          <w:szCs w:val="15"/>
          <w:color w:val="auto"/>
        </w:rPr>
      </w:pPr>
    </w:p>
    <w:p>
      <w:pPr>
        <w:ind w:left="900" w:hanging="325"/>
        <w:spacing w:after="0" w:line="256"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Years Ended December 31, 2011 and 2010. </w:t>
      </w:r>
      <w:r>
        <w:rPr>
          <w:rFonts w:ascii="Arial" w:cs="Arial" w:eastAsia="Arial" w:hAnsi="Arial"/>
          <w:sz w:val="18"/>
          <w:szCs w:val="18"/>
          <w:color w:val="auto"/>
        </w:rPr>
        <w:t>Net cash provided by financing activities for 2011 decreased $919.8 over 2010. This was primarily driven</w:t>
      </w:r>
      <w:r>
        <w:rPr>
          <w:rFonts w:ascii="Arial" w:cs="Arial" w:eastAsia="Arial" w:hAnsi="Arial"/>
          <w:sz w:val="18"/>
          <w:szCs w:val="18"/>
          <w:i w:val="1"/>
          <w:iCs w:val="1"/>
          <w:color w:val="auto"/>
        </w:rPr>
        <w:t xml:space="preserve"> </w:t>
      </w:r>
      <w:r>
        <w:rPr>
          <w:rFonts w:ascii="Arial" w:cs="Arial" w:eastAsia="Arial" w:hAnsi="Arial"/>
          <w:sz w:val="18"/>
          <w:szCs w:val="18"/>
          <w:color w:val="auto"/>
        </w:rPr>
        <w:t>by lower policyholder deposits as there were no BOLI deposits in 2011, compared to $461.0 in 2010, and higher deferred annuity policyholder withdrawals, which we anticipate as polices on a growing block of business move out of the surrender charge period. In addition, we received net IPO proceeds of $282.5 during the first quarter of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enter into obligations with third parties in the ordinary course of our operations. The estimated cash payments related to these obligations as of December 31, 2012 are set forth in the table below. The estimated payments reflected in this table are based on management’s estimates and assumptions, which are necessarily subjective. Actual cash out flows in future periods will vary, possibly materially. Further, we do not believe that our cash flow requirements can be assessed based upon an analysis of these obligations as the funding of these future cash obligations will be from future cash flows from maturities of invested assets, premiums, deposits, fees and investment income that are not reflected in the table below. In addition, our operations involve significant expenditures that are not based upon commitments, including expenditures for payroll and income taxes.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87"/>
              </w:rPr>
              <w:t>Payments Due by Year</w:t>
            </w: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rPr>
              <w:t>2018 and</w:t>
            </w:r>
          </w:p>
        </w:tc>
        <w:tc>
          <w:tcPr>
            <w:tcW w:w="10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740" w:type="dxa"/>
            <w:vAlign w:val="bottom"/>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10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2013</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2014-2015</w:t>
            </w: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9"/>
              </w:rPr>
              <w:t>2016-2017</w:t>
            </w:r>
          </w:p>
        </w:tc>
        <w:tc>
          <w:tcPr>
            <w:tcW w:w="3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9"/>
              </w:rPr>
              <w:t>thereafter</w:t>
            </w:r>
          </w:p>
        </w:tc>
      </w:tr>
      <w:tr>
        <w:trPr>
          <w:trHeight w:val="196"/>
        </w:trPr>
        <w:tc>
          <w:tcPr>
            <w:tcW w:w="63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Contractual Obligations:</w:t>
            </w:r>
          </w:p>
        </w:tc>
        <w:tc>
          <w:tcPr>
            <w:tcW w:w="7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Insurance obligations (1)</w:t>
            </w:r>
          </w:p>
        </w:tc>
        <w:tc>
          <w:tcPr>
            <w:tcW w:w="740" w:type="dxa"/>
            <w:vAlign w:val="bottom"/>
          </w:tcPr>
          <w:p>
            <w:pPr>
              <w:jc w:val="right"/>
              <w:spacing w:after="0"/>
              <w:rPr>
                <w:sz w:val="20"/>
                <w:szCs w:val="20"/>
                <w:color w:val="auto"/>
              </w:rPr>
            </w:pPr>
            <w:r>
              <w:rPr>
                <w:rFonts w:ascii="Arial" w:cs="Arial" w:eastAsia="Arial" w:hAnsi="Arial"/>
                <w:sz w:val="18"/>
                <w:szCs w:val="18"/>
                <w:color w:val="auto"/>
                <w:w w:val="84"/>
              </w:rPr>
              <w:t>$ 41,253.4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$2,066.8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$ 4,583.6</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2"/>
              </w:rPr>
              <w:t>$ 4,449.9</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$ 30,153.1</w:t>
            </w: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Interest on notes payable</w:t>
            </w:r>
          </w:p>
        </w:tc>
        <w:tc>
          <w:tcPr>
            <w:tcW w:w="740" w:type="dxa"/>
            <w:vAlign w:val="bottom"/>
          </w:tcPr>
          <w:p>
            <w:pPr>
              <w:jc w:val="right"/>
              <w:spacing w:after="0"/>
              <w:rPr>
                <w:sz w:val="20"/>
                <w:szCs w:val="20"/>
                <w:color w:val="auto"/>
              </w:rPr>
            </w:pPr>
            <w:r>
              <w:rPr>
                <w:rFonts w:ascii="Arial" w:cs="Arial" w:eastAsia="Arial" w:hAnsi="Arial"/>
                <w:sz w:val="18"/>
                <w:szCs w:val="18"/>
                <w:color w:val="auto"/>
              </w:rPr>
              <w:t>126.6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34.1</w:t>
            </w:r>
          </w:p>
        </w:tc>
        <w:tc>
          <w:tcPr>
            <w:tcW w:w="3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Investments in limited partnerships (3)</w:t>
            </w:r>
          </w:p>
        </w:tc>
        <w:tc>
          <w:tcPr>
            <w:tcW w:w="740" w:type="dxa"/>
            <w:vAlign w:val="bottom"/>
          </w:tcPr>
          <w:p>
            <w:pPr>
              <w:jc w:val="right"/>
              <w:spacing w:after="0"/>
              <w:rPr>
                <w:sz w:val="20"/>
                <w:szCs w:val="20"/>
                <w:color w:val="auto"/>
              </w:rPr>
            </w:pPr>
            <w:r>
              <w:rPr>
                <w:rFonts w:ascii="Arial" w:cs="Arial" w:eastAsia="Arial" w:hAnsi="Arial"/>
                <w:sz w:val="18"/>
                <w:szCs w:val="18"/>
                <w:color w:val="auto"/>
              </w:rPr>
              <w:t>57.0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51.3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6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Servicing fees (4)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Other (5)</w:t>
            </w:r>
          </w:p>
        </w:tc>
        <w:tc>
          <w:tcPr>
            <w:tcW w:w="740" w:type="dxa"/>
            <w:vAlign w:val="bottom"/>
          </w:tcPr>
          <w:p>
            <w:pPr>
              <w:jc w:val="right"/>
              <w:spacing w:after="0"/>
              <w:rPr>
                <w:sz w:val="20"/>
                <w:szCs w:val="20"/>
                <w:color w:val="auto"/>
              </w:rPr>
            </w:pPr>
            <w:r>
              <w:rPr>
                <w:rFonts w:ascii="Arial" w:cs="Arial" w:eastAsia="Arial" w:hAnsi="Arial"/>
                <w:sz w:val="18"/>
                <w:szCs w:val="18"/>
                <w:color w:val="auto"/>
              </w:rPr>
              <w:t>67.6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 (6)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3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22"/>
        </w:trPr>
        <w:tc>
          <w:tcPr>
            <w:tcW w:w="6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740" w:type="dxa"/>
            <w:vAlign w:val="bottom"/>
          </w:tcPr>
          <w:p>
            <w:pPr>
              <w:jc w:val="right"/>
              <w:spacing w:after="0"/>
              <w:rPr>
                <w:sz w:val="20"/>
                <w:szCs w:val="20"/>
                <w:color w:val="auto"/>
              </w:rPr>
            </w:pPr>
            <w:r>
              <w:rPr>
                <w:rFonts w:ascii="Arial" w:cs="Arial" w:eastAsia="Arial" w:hAnsi="Arial"/>
                <w:sz w:val="18"/>
                <w:szCs w:val="18"/>
                <w:color w:val="auto"/>
                <w:w w:val="84"/>
              </w:rPr>
              <w:t>$ 41,999.7</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2,232.9</w:t>
            </w: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4,674.2</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4,936.8</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$ 30,155.8</w:t>
            </w:r>
          </w:p>
        </w:tc>
      </w:tr>
      <w:tr>
        <w:trPr>
          <w:trHeight w:val="20"/>
        </w:trPr>
        <w:tc>
          <w:tcPr>
            <w:tcW w:w="11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40" w:hanging="452"/>
        <w:spacing w:after="0" w:line="291"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estimated claim and benefit, policy surrender, reinsurance premiums and commission obligations on in force insurance policies and deposit contracts. Estimated claim and benefit obligations are based on mortality, morbidity and lapse assumptions comparable with our historical experience. In contrast to this table, our obligations recorded in our consolidated balance sheets generally represent the present value of these cash flows and do not incorporate future credited interest for annuity and BOLI contracts. Therefore, the estimated obligations for insurance liabilities presented in this table significantly exceed the liabilities recorded in reserves for future annuity and contract benefits and the liability for policy and contract claims. Due to the significance of the assumptions used, the amounts presented could materially differ from actual results. We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80"/>
        <w:spacing w:after="0" w:line="254" w:lineRule="auto"/>
        <w:rPr>
          <w:sz w:val="20"/>
          <w:szCs w:val="20"/>
          <w:color w:val="auto"/>
        </w:rPr>
      </w:pPr>
      <w:r>
        <w:rPr>
          <w:rFonts w:ascii="Arial" w:cs="Arial" w:eastAsia="Arial" w:hAnsi="Arial"/>
          <w:sz w:val="18"/>
          <w:szCs w:val="18"/>
          <w:color w:val="auto"/>
        </w:rPr>
        <w:t>have not included the variable separate account obligations as these obligations are legally insulated from general account obligations and will be fully funded by cash flows from separate account assets.</w:t>
      </w:r>
    </w:p>
    <w:p>
      <w:pPr>
        <w:ind w:left="460" w:right="64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capital efficient notes (CENts), which are redeemable at the Company’s option beginning October 15, 2017, with a final maturity date of October 15, 2067. Since the timing of repayment is at the Company’s option after October 15, 2017, subject to the terms of the replacement capital covenant, the outstanding principal balance of the CENts has been included in payments due 2016-2017. For more information, see Note 12 to the consolidated financial statements.</w:t>
      </w:r>
    </w:p>
    <w:p>
      <w:pPr>
        <w:spacing w:after="0" w:line="1" w:lineRule="exact"/>
        <w:rPr>
          <w:rFonts w:ascii="Arial" w:cs="Arial" w:eastAsia="Arial" w:hAnsi="Arial"/>
          <w:sz w:val="18"/>
          <w:szCs w:val="18"/>
          <w:color w:val="auto"/>
        </w:rPr>
      </w:pPr>
    </w:p>
    <w:p>
      <w:pPr>
        <w:ind w:left="460" w:right="100" w:hanging="452"/>
        <w:spacing w:after="0" w:line="281"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have investments in limited partnership interests related to tax credit investments and private equity partnerships. We will provide capital contributions to our private equity partnerships through 2016 with a remaining committed amount of $16.4 at the discretion of the general partner, subject to certain contribution limits. Since the timing of payment is uncertain, the unfunded amount has been included in the payment due in less than one year. For more information, see Note 14 to the consolidated financial statements. Amounts recorded on the balance sheets are included in “other liabilities.”</w:t>
      </w:r>
    </w:p>
    <w:p>
      <w:pPr>
        <w:spacing w:after="0" w:line="2"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contractual commitments for a service agreement to outsource the majority of our information technology infrastructure. For more information, see Note 14 to the consolidated financial statements.</w:t>
      </w: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Primarily comprised of unfunded mortgage loan commitments of $64.4, as of December 31, 2012.</w:t>
      </w:r>
    </w:p>
    <w:p>
      <w:pPr>
        <w:spacing w:after="0" w:line="9"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minimum rental commitments on leases for office space and certain equipment. For more information, see Note 14 to the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have derivative instruments with off-balance-sheet risks whose notional or contractual amounts exceed their fair value. For further information on our derivative instruments, see Note 4 in the accompanying notes to the consolidated financial statements. We do not have any off-balance sheet arrangements that are reasonably likely to have a material effect on our financial condition, results of operations, liquidity, or capital resources.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Market risk is the risk of fluctuations in the fair value of certain assets and liabilities as a result of adverse changes in interest rates and equity prices. Market risk is directly influenced by the volatility and liquidity in the markets in which the related underlying financial instruments are traded. We have exposure to several market risks, including interest rate risk, equity risk and credit risk. We enter into market-sensitive instruments primarily for purposes other than trading, namely, to support our insurance liabilities.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an important part of our asset-liability matching strategy, we use derivative instruments, such as equity index options, interest rate swaps, foreign currency swaps and foreign currency forwards, to mitigate certain risks by reducing the risk between the timing of receipt of cash and its investment in the market, extending or shortening the asset duration to better align with the duration of the associated liabilities, and reducing our exposure to fluctuations in equity market indices that underlie some of our products. We use the S&amp;P indexed call options to manage our exposure to changes in indexes related to our FIA block of business, which credits policyholders’ account values based on gains in these indexes. We use interest rate swaps primarily to convert floating rate hybrid fixed maturities to fixed rate securities. We use foreign currency forwards in connection with our investments in certain foreign currency denominated REITs.</w:t>
      </w:r>
    </w:p>
    <w:p>
      <w:pPr>
        <w:spacing w:after="0" w:line="120"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While we enter into derivatives to mitigate certain market risks, as a matter of policy, we have not, and do not intend to, engage in derivative market-making, speculative derivative trading or other speculative derivatives activities. Our agreements with derivative counterparties typically require that we provide collateral when our net derivative liability position with a particular counterparty reaches certain contractual levels. As a result, we may be required to post collateral due to fluctuations in the fair value of our derivatives and may result in us holding more high quality securities to ensure we have sufficient collateral to post derivative counterparties in the event of adverse changes in fair value of our derivative instruments. In the event we do not have sufficient high quality securities or cash and cash equivalents to provide as collateral, we may need to sell certain other securities to purchase assets that would be eligible for collateral posting, which could adversely impact our future investment income. For further discussion, see Notes 2 and 4 of the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Our exposure to interest rate risk relates to the market price and/or cash flow variability associated with changes in market interest rates. A gradual increase in market interest rates from current levels would generally be a favorable development for us. If market interest rates increase we would expect to earn additional investment income, have increased annuity and life insurance sales, and reduce the potential risk of margin erosion due to minimum guaranteed crediting rates.</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However, if interest rates rise significantly within a short time period, the fair value of fixed income securities would decline and certain interest-sensitive lines of business are exposed to lapses as policyholders seek higher returns.</w:t>
      </w:r>
    </w:p>
    <w:p>
      <w:pPr>
        <w:spacing w:after="0" w:line="13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investment portfolios primarily consist of investment grade fixed maturity securities, including public and privately-placed corporate bonds, residential mortgage-backed securities, commercial mortgage-backed securities, and commercial mortgage loans. The carrying value of our investment portfolio as of December 31, 2012 and 2011 was $27.6 billion and $26.2 billion, respectively, of which 85.4% in 2012 and 87.5% in 2011 was invested in fixed maturities. The primary market risk to our investment portfolio is interest rate risk associated with investments in fixed maturity securities. The fair value of our fixed maturities fluctuates depending on the interest rate environment. During periods of declining interest rates, paydowns on mortgage-backed securities and collateralized mortgage obligations increase and we would generally be unable to reinvest the proceeds of such prepayments at comparable yields. The weighted-average effective duration of our fixed maturity portfolio was approximately 5.7 and 5.8 years and as of December 31, 2012 and 2011, respectively.</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manage our exposure to interest rate risk through asset allocation limits and asset/liability duration and cash flow matching. We also limit the purchase of negatively convex assets. Convexity measures the sensitivity of an asset’s duration to changes in interest rates. For negatively convex assets, which are those that have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prepayment provisions such as RMBS, principal cash flows can vary with movements in interest rates, and duration decreases with declines in interest rates. Increased prepayments may cause more reinvestment into lower-yielding assets than desired. Additionally, if interest rates fall, the prices of negatively convex assets will not rise in value as much as the prices of assets without prepayment provisions. Each line of business has investment guidelines based on its specific liability characteristics.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Risk</w:t>
      </w:r>
    </w:p>
    <w:p>
      <w:pPr>
        <w:spacing w:after="0" w:line="9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We are exposed to equity price risk on our common stock and other equity holdings. In addition, asset fees calculated as a percentage of the separate account assets are a source of revenue to us. Gains and losses in the equity markets generally result in corresponding increases and decreases in our separate account assets and asset fee revenue.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manage equity price risk on investment holdings through industry and issuer diversification and asset allocation techniques.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9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Our portfolio of invested assets was $27.6 billion and $26.2 billion as of December 31, 2012 and 2011, respectively. Of this total, $17.2 billion and $16.2 billion consisted of corporate bonds and $3.1 billion and $2.5 billion consisted of mortgage loans on real estate as of December 31, 2012 and 2011, respectively. We manage the risk of adverse default experience on these investments by applying disciplined credit evaluation and underwriting standards, prudently limiting allocations to lower-quality, higher-yielding investments and diversifying exposures by issuer, industry, region and property type. For each counterparty or borrowing entity and its affiliates, our exposures from all transactions are aggregated and managed in relation to formal limits set by rating quality. Additional diversification limits, such as limits per industry, are also applied. We remain exposed to occasional adverse cyclical economic downturns during which default rates may be significantly higher than the long-term historical average used in pricing.</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presents the fair value of our fixed maturities by NAIC designation and S&amp;P equivalent credit ratings, as well as the percentage of total fixed maturities, based upon fair value that each designation comprises: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w w:val="93"/>
              </w:rPr>
              <w:t>As of 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20" w:type="dxa"/>
            <w:vAlign w:val="bottom"/>
            <w:tcBorders>
              <w:bottom w:val="single" w:sz="8" w:color="CCEEFF"/>
            </w:tcBorders>
          </w:tcPr>
          <w:p>
            <w:pPr>
              <w:spacing w:after="0"/>
              <w:rPr>
                <w:sz w:val="12"/>
                <w:szCs w:val="12"/>
                <w:color w:val="auto"/>
              </w:rPr>
            </w:pPr>
          </w:p>
        </w:tc>
        <w:tc>
          <w:tcPr>
            <w:tcW w:w="7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r>
      <w:tr>
        <w:trPr>
          <w:trHeight w:val="196"/>
        </w:trPr>
        <w:tc>
          <w:tcPr>
            <w:tcW w:w="620" w:type="dxa"/>
            <w:vAlign w:val="bottom"/>
            <w:shd w:val="clear" w:color="auto" w:fill="CCEEFF"/>
          </w:tcPr>
          <w:p>
            <w:pPr>
              <w:jc w:val="center"/>
              <w:ind w:right="12"/>
              <w:spacing w:after="0" w:line="196" w:lineRule="exact"/>
              <w:rPr>
                <w:sz w:val="20"/>
                <w:szCs w:val="20"/>
                <w:color w:val="auto"/>
              </w:rPr>
            </w:pPr>
            <w:r>
              <w:rPr>
                <w:rFonts w:ascii="Arial" w:cs="Arial" w:eastAsia="Arial" w:hAnsi="Arial"/>
                <w:sz w:val="18"/>
                <w:szCs w:val="18"/>
                <w:b w:val="1"/>
                <w:bCs w:val="1"/>
                <w:color w:val="auto"/>
              </w:rPr>
              <w:t>NAIC:</w:t>
            </w:r>
          </w:p>
        </w:tc>
        <w:tc>
          <w:tcPr>
            <w:tcW w:w="724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S&amp;P Equivalent:</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20" w:type="dxa"/>
            <w:vAlign w:val="bottom"/>
          </w:tcPr>
          <w:p>
            <w:pPr>
              <w:jc w:val="center"/>
              <w:ind w:right="12"/>
              <w:spacing w:after="0"/>
              <w:rPr>
                <w:sz w:val="20"/>
                <w:szCs w:val="20"/>
                <w:color w:val="auto"/>
              </w:rPr>
            </w:pPr>
            <w:r>
              <w:rPr>
                <w:rFonts w:ascii="Arial" w:cs="Arial" w:eastAsia="Arial" w:hAnsi="Arial"/>
                <w:sz w:val="18"/>
                <w:szCs w:val="18"/>
                <w:color w:val="auto"/>
                <w:w w:val="79"/>
              </w:rPr>
              <w:t>1</w:t>
            </w:r>
          </w:p>
        </w:tc>
        <w:tc>
          <w:tcPr>
            <w:tcW w:w="7240" w:type="dxa"/>
            <w:vAlign w:val="bottom"/>
          </w:tcPr>
          <w:p>
            <w:pPr>
              <w:ind w:left="180"/>
              <w:spacing w:after="0"/>
              <w:rPr>
                <w:sz w:val="20"/>
                <w:szCs w:val="20"/>
                <w:color w:val="auto"/>
              </w:rPr>
            </w:pPr>
            <w:r>
              <w:rPr>
                <w:rFonts w:ascii="Arial" w:cs="Arial" w:eastAsia="Arial" w:hAnsi="Arial"/>
                <w:sz w:val="18"/>
                <w:szCs w:val="18"/>
                <w:color w:val="auto"/>
              </w:rPr>
              <w:t>AAA, AA, A</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$13,748.9</w:t>
            </w:r>
          </w:p>
        </w:tc>
        <w:tc>
          <w:tcPr>
            <w:tcW w:w="28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58.5 %   $13,987.6</w:t>
            </w:r>
          </w:p>
        </w:tc>
        <w:tc>
          <w:tcPr>
            <w:tcW w:w="2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61.1%</w:t>
            </w:r>
          </w:p>
        </w:tc>
      </w:tr>
      <w:tr>
        <w:trPr>
          <w:trHeight w:val="216"/>
        </w:trPr>
        <w:tc>
          <w:tcPr>
            <w:tcW w:w="62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2</w:t>
            </w: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BBB</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8,490.9</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7,409.5</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w:t>
            </w:r>
          </w:p>
        </w:tc>
      </w:tr>
      <w:tr>
        <w:trPr>
          <w:trHeight w:val="216"/>
        </w:trPr>
        <w:tc>
          <w:tcPr>
            <w:tcW w:w="620" w:type="dxa"/>
            <w:vAlign w:val="bottom"/>
          </w:tcPr>
          <w:p>
            <w:pPr>
              <w:jc w:val="center"/>
              <w:ind w:right="12"/>
              <w:spacing w:after="0"/>
              <w:rPr>
                <w:sz w:val="20"/>
                <w:szCs w:val="20"/>
                <w:color w:val="auto"/>
              </w:rPr>
            </w:pPr>
            <w:r>
              <w:rPr>
                <w:rFonts w:ascii="Arial" w:cs="Arial" w:eastAsia="Arial" w:hAnsi="Arial"/>
                <w:sz w:val="18"/>
                <w:szCs w:val="18"/>
                <w:color w:val="auto"/>
                <w:w w:val="79"/>
              </w:rPr>
              <w:t>3</w:t>
            </w:r>
          </w:p>
        </w:tc>
        <w:tc>
          <w:tcPr>
            <w:tcW w:w="7240" w:type="dxa"/>
            <w:vAlign w:val="bottom"/>
          </w:tcPr>
          <w:p>
            <w:pPr>
              <w:ind w:left="200"/>
              <w:spacing w:after="0"/>
              <w:rPr>
                <w:sz w:val="20"/>
                <w:szCs w:val="20"/>
                <w:color w:val="auto"/>
              </w:rPr>
            </w:pPr>
            <w:r>
              <w:rPr>
                <w:rFonts w:ascii="Arial" w:cs="Arial" w:eastAsia="Arial" w:hAnsi="Arial"/>
                <w:sz w:val="18"/>
                <w:szCs w:val="18"/>
                <w:color w:val="auto"/>
              </w:rPr>
              <w:t>BB</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683.7</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897.8</w:t>
            </w:r>
          </w:p>
        </w:tc>
        <w:tc>
          <w:tcPr>
            <w:tcW w:w="2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r>
      <w:tr>
        <w:trPr>
          <w:trHeight w:val="216"/>
        </w:trPr>
        <w:tc>
          <w:tcPr>
            <w:tcW w:w="62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4</w:t>
            </w: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r>
      <w:tr>
        <w:trPr>
          <w:trHeight w:val="216"/>
        </w:trPr>
        <w:tc>
          <w:tcPr>
            <w:tcW w:w="620" w:type="dxa"/>
            <w:vAlign w:val="bottom"/>
          </w:tcPr>
          <w:p>
            <w:pPr>
              <w:jc w:val="center"/>
              <w:ind w:right="12"/>
              <w:spacing w:after="0"/>
              <w:rPr>
                <w:sz w:val="20"/>
                <w:szCs w:val="20"/>
                <w:color w:val="auto"/>
              </w:rPr>
            </w:pPr>
            <w:r>
              <w:rPr>
                <w:rFonts w:ascii="Arial" w:cs="Arial" w:eastAsia="Arial" w:hAnsi="Arial"/>
                <w:sz w:val="18"/>
                <w:szCs w:val="18"/>
                <w:color w:val="auto"/>
                <w:w w:val="79"/>
              </w:rPr>
              <w:t>5</w:t>
            </w:r>
          </w:p>
        </w:tc>
        <w:tc>
          <w:tcPr>
            <w:tcW w:w="7240" w:type="dxa"/>
            <w:vAlign w:val="bottom"/>
          </w:tcPr>
          <w:p>
            <w:pPr>
              <w:ind w:left="200"/>
              <w:spacing w:after="0"/>
              <w:rPr>
                <w:sz w:val="20"/>
                <w:szCs w:val="20"/>
                <w:color w:val="auto"/>
              </w:rPr>
            </w:pPr>
            <w:r>
              <w:rPr>
                <w:rFonts w:ascii="Arial" w:cs="Arial" w:eastAsia="Arial" w:hAnsi="Arial"/>
                <w:sz w:val="18"/>
                <w:szCs w:val="18"/>
                <w:color w:val="auto"/>
              </w:rPr>
              <w:t>CCC &amp; lower</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83.0</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96.2</w:t>
            </w:r>
          </w:p>
        </w:tc>
        <w:tc>
          <w:tcPr>
            <w:tcW w:w="2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r>
      <w:tr>
        <w:trPr>
          <w:trHeight w:val="216"/>
        </w:trPr>
        <w:tc>
          <w:tcPr>
            <w:tcW w:w="62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6</w:t>
            </w: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or near default</w:t>
            </w:r>
          </w:p>
        </w:tc>
        <w:tc>
          <w:tcPr>
            <w:tcW w:w="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Total</w:t>
            </w:r>
          </w:p>
        </w:tc>
        <w:tc>
          <w:tcPr>
            <w:tcW w:w="72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23,519.0</w:t>
            </w:r>
          </w:p>
        </w:tc>
        <w:tc>
          <w:tcPr>
            <w:tcW w:w="2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100.0 %</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22,905.2</w:t>
            </w:r>
          </w:p>
        </w:tc>
        <w:tc>
          <w:tcPr>
            <w:tcW w:w="2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0"/>
        </w:trPr>
        <w:tc>
          <w:tcPr>
            <w:tcW w:w="6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further discussion, see Item 7 — “Management’s Discussion and Analysis of Financial Condition and Results of Operations — Investments” and Note 4 of the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Analysis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Sensitivity analysis measures the impact of hypothetical changes in interest rates and other market rates or prices on the profitability of market-sensitive financial instruments.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following discussion about the potential effects of changes in interest rates and equity market prices is based on so-called “shock-tests,” which model the effects of interest rate and equity market price shifts on our financial condition and results of operations. Although we believe shock tests provide the most meaningful analysis, they are constrained by several factors, including the necessity to conduct the analysis based on a single point in time and by their inability to include the extraordinarily complex market reactions that normally would arise from the market shifts modeled. Although the following results of shock tests for changes in interest rates and equity market prices may have some limited use as benchmarks, they should not be viewed as forecasts. These forward-looking disclosures also are selective in nature and address only the potential impacts on our financial instruments. They do not include a variety of other potential factors that could affect our business as a result of these changes in interest rates and equity market prices.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One means of assessing exposure of our fixed maturities portfolio to interest rate changes is a duration-based analysis that measures the potential changes in fair value resulting from a hypothetical change in interest rates of 100 basis points across all maturities. This is sometimes referred to as a parallel shift in the yield curve. We use a fixed-income analytics tool to model and calculate the duration and convexity of our asset portfolio. Under this model, with all other factors constant and assuming no offsetting change in the fair value of our liabilities, we estimated that such an increase in interest rates would cause the fair value of our total fixed maturities portfolio to decline by approximately $1.34 billion and $1.33 billion, based on our securities positions as of December 31, 2012 and 2011, respectively. Of this, we estimate our Income Annuities segment’s fixed maturities portfolio, the majority of which are long duration assets, would account for approximately $0.49 billion and $0.50 billion of the decline, based on our positions as of December 31, 2012 and 2011, respectively.</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One means of assessing exposure to changes in equity market prices is to estimate the potential changes in values of our investments whose fair values are typically highly correlated with the equity markets resulting from a hypothetical broad-based decline in equity market prices of 10%. Using this assumption, with all other factors constant, we estimate that such a decline in equity market prices would cause the fair value of our investment portfolio to decline by approximately $66.3 and $49.8, as of December 31, 2012 and 2011, respectively. In addition, fluctuations in equity market prices affect our revenues and returns related to our variable annuity and life products, which depend upon fees that are related primarily to the fair value of the underlying assets.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20" w:type="dxa"/>
            <w:vAlign w:val="bottom"/>
            <w:gridSpan w:val="8"/>
          </w:tcPr>
          <w:p>
            <w:pPr>
              <w:ind w:left="260"/>
              <w:spacing w:after="0"/>
              <w:rPr>
                <w:sz w:val="20"/>
                <w:szCs w:val="20"/>
                <w:color w:val="auto"/>
              </w:rPr>
            </w:pPr>
            <w:r>
              <w:rPr>
                <w:rFonts w:ascii="Arial" w:cs="Arial" w:eastAsia="Arial" w:hAnsi="Arial"/>
                <w:sz w:val="18"/>
                <w:szCs w:val="18"/>
                <w:b w:val="1"/>
                <w:bCs w:val="1"/>
                <w:color w:val="auto"/>
              </w:rPr>
              <w:t>Financial Statements and Supplementary Data</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780" w:type="dxa"/>
            <w:vAlign w:val="bottom"/>
          </w:tcPr>
          <w:p>
            <w:pPr>
              <w:spacing w:after="0"/>
              <w:rPr>
                <w:sz w:val="24"/>
                <w:szCs w:val="24"/>
                <w:color w:val="auto"/>
              </w:rPr>
            </w:pPr>
          </w:p>
        </w:tc>
        <w:tc>
          <w:tcPr>
            <w:tcW w:w="1022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0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Consolidated Financial Statements of Symetra Financial Corporation:</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4"/>
        </w:trPr>
        <w:tc>
          <w:tcPr>
            <w:tcW w:w="11000" w:type="dxa"/>
            <w:vAlign w:val="bottom"/>
            <w:gridSpan w:val="9"/>
            <w:vMerge w:val="continue"/>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11000" w:type="dxa"/>
            <w:vAlign w:val="bottom"/>
            <w:gridSpan w:val="9"/>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Report of Independent Registered Public Accounting Firm</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114</w:t>
            </w:r>
          </w:p>
        </w:tc>
        <w:tc>
          <w:tcPr>
            <w:tcW w:w="0" w:type="dxa"/>
            <w:vAlign w:val="bottom"/>
          </w:tcPr>
          <w:p>
            <w:pPr>
              <w:spacing w:after="0"/>
              <w:rPr>
                <w:sz w:val="1"/>
                <w:szCs w:val="1"/>
                <w:color w:val="auto"/>
              </w:rPr>
            </w:pPr>
          </w:p>
        </w:tc>
      </w:tr>
      <w:tr>
        <w:trPr>
          <w:trHeight w:val="20"/>
        </w:trPr>
        <w:tc>
          <w:tcPr>
            <w:tcW w:w="41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54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115">
              <w:r>
                <w:rPr>
                  <w:rFonts w:ascii="Arial" w:cs="Arial" w:eastAsia="Arial" w:hAnsi="Arial"/>
                  <w:sz w:val="18"/>
                  <w:szCs w:val="18"/>
                  <w:color w:val="0000EE"/>
                  <w:w w:val="86"/>
                </w:rPr>
                <w:t>Consolidated Balance Sheets as of December 31, 2012 and 2011</w:t>
              </w:r>
            </w:hyperlink>
          </w:p>
        </w:tc>
        <w:tc>
          <w:tcPr>
            <w:tcW w:w="6460" w:type="dxa"/>
            <w:vAlign w:val="bottom"/>
            <w:gridSpan w:val="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304"/>
        </w:trPr>
        <w:tc>
          <w:tcPr>
            <w:tcW w:w="11000" w:type="dxa"/>
            <w:vAlign w:val="bottom"/>
            <w:gridSpan w:val="9"/>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Consolidated Statements of Income for the years ended December 31, 2012, 2011 and 2010</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116</w:t>
            </w:r>
          </w:p>
        </w:tc>
        <w:tc>
          <w:tcPr>
            <w:tcW w:w="0" w:type="dxa"/>
            <w:vAlign w:val="bottom"/>
          </w:tcPr>
          <w:p>
            <w:pPr>
              <w:spacing w:after="0"/>
              <w:rPr>
                <w:sz w:val="1"/>
                <w:szCs w:val="1"/>
                <w:color w:val="auto"/>
              </w:rPr>
            </w:pPr>
          </w:p>
        </w:tc>
      </w:tr>
      <w:tr>
        <w:trPr>
          <w:trHeight w:val="20"/>
        </w:trPr>
        <w:tc>
          <w:tcPr>
            <w:tcW w:w="644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0" w:type="dxa"/>
            <w:vAlign w:val="bottom"/>
            <w:gridSpan w:val="9"/>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Consolidated Statements of Comprehensive Income for the years ended December 31, 2012, 2011 and 2010</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20"/>
        </w:trPr>
        <w:tc>
          <w:tcPr>
            <w:tcW w:w="674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18">
              <w:r>
                <w:rPr>
                  <w:rFonts w:ascii="Arial" w:cs="Arial" w:eastAsia="Arial" w:hAnsi="Arial"/>
                  <w:sz w:val="18"/>
                  <w:szCs w:val="18"/>
                  <w:color w:val="0000EE"/>
                  <w:w w:val="88"/>
                </w:rPr>
                <w:t>Consolidated Statements of Changes in Stockholders’ Equity for the years ended December 31, 2012, 2011 and 2010</w:t>
              </w:r>
            </w:hyperlink>
          </w:p>
        </w:tc>
        <w:tc>
          <w:tcPr>
            <w:tcW w:w="27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304"/>
        </w:trPr>
        <w:tc>
          <w:tcPr>
            <w:tcW w:w="6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Consolidated Statements of Cash Flows for the years ended December 31, 2012, 2011 and 2010</w:t>
              </w:r>
            </w:hyperlink>
          </w:p>
        </w:tc>
        <w:tc>
          <w:tcPr>
            <w:tcW w:w="426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304"/>
        </w:trPr>
        <w:tc>
          <w:tcPr>
            <w:tcW w:w="11000" w:type="dxa"/>
            <w:vAlign w:val="bottom"/>
            <w:gridSpan w:val="9"/>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Notes to Consolidated Financial Statements for the years ended December 31, 2012, 2011 and 2010</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383"/>
        </w:trPr>
        <w:tc>
          <w:tcPr>
            <w:tcW w:w="780" w:type="dxa"/>
            <w:vAlign w:val="bottom"/>
            <w:tcBorders>
              <w:top w:val="single" w:sz="8" w:color="0000EE"/>
            </w:tcBorders>
          </w:tcPr>
          <w:p>
            <w:pPr>
              <w:spacing w:after="0"/>
              <w:rPr>
                <w:sz w:val="24"/>
                <w:szCs w:val="24"/>
                <w:color w:val="auto"/>
              </w:rPr>
            </w:pPr>
          </w:p>
        </w:tc>
        <w:tc>
          <w:tcPr>
            <w:tcW w:w="5660" w:type="dxa"/>
            <w:vAlign w:val="bottom"/>
            <w:tcBorders>
              <w:top w:val="single" w:sz="8" w:color="0000EE"/>
            </w:tcBorders>
            <w:gridSpan w:val="3"/>
          </w:tcPr>
          <w:p>
            <w:pPr>
              <w:jc w:val="right"/>
              <w:ind w:right="600"/>
              <w:spacing w:after="0"/>
              <w:rPr>
                <w:sz w:val="20"/>
                <w:szCs w:val="20"/>
                <w:color w:val="auto"/>
              </w:rPr>
            </w:pPr>
            <w:r>
              <w:rPr>
                <w:rFonts w:ascii="Arial" w:cs="Arial" w:eastAsia="Arial" w:hAnsi="Arial"/>
                <w:sz w:val="18"/>
                <w:szCs w:val="18"/>
                <w:color w:val="auto"/>
              </w:rPr>
              <w:t>113</w:t>
            </w: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Symetra Financial Corporation</w:t>
      </w:r>
    </w:p>
    <w:p>
      <w:pPr>
        <w:spacing w:after="0" w:line="16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have audited the accompanying consolidated balance sheets of Symetra Financial Corporation as of December 31, 2012 and 2011, and the related consolidated statements of income, comprehensive income, changes in stockholders’ equity, and cash flows for each of the three years in the period ended December 31, 2012. Our audits also included the financial statement schedules listed in the Index at Item 15(a). These financial statements and schedules are the responsibility of the Company’s management. Our responsibility is to express an opinion on these financial statements and schedules based on our audits.</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360"/>
        <w:spacing w:after="0" w:line="323"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consolidated financial position of Symetra Financial Corporation at December 31, 2012 and 2011, and the consolidated results of its operations and its cash flows for each of the three years in the period ended December 31, 2012, in conformity with U.S. generally accepted accounting principles. Also, in our opinion, the related financial statement schedules, when considered in relation to the basic financial statements taken as a whole, present fairly in all material respects the information set forth therein.</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2 to the consolidated financial statements, the Company changed its method for accounting for deferred acquisition costs in 2012.</w:t>
      </w:r>
    </w:p>
    <w:p>
      <w:pPr>
        <w:spacing w:after="0" w:line="194"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Symetra Financial Corporation’s internal control over financial reporting as of December 31, 2012, based on criteria established in Internal Control—Integrated Framework issued by the Committee of Sponsoring Organizations of the Treadway Commission and our report dated February 26, 2013 expressed an unqualified opinion thereon.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20"/>
          </w:cols>
          <w:pgMar w:left="240" w:top="459" w:right="3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60" w:type="dxa"/>
            <w:vAlign w:val="bottom"/>
            <w:gridSpan w:val="5"/>
          </w:tcPr>
          <w:p>
            <w:pPr>
              <w:ind w:left="4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(As adjusted)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Available-for-sale securities:</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280"/>
              <w:spacing w:after="0"/>
              <w:rPr>
                <w:sz w:val="20"/>
                <w:szCs w:val="20"/>
                <w:color w:val="auto"/>
              </w:rPr>
            </w:pPr>
            <w:r>
              <w:rPr>
                <w:rFonts w:ascii="Arial" w:cs="Arial" w:eastAsia="Arial" w:hAnsi="Arial"/>
                <w:sz w:val="18"/>
                <w:szCs w:val="18"/>
                <w:color w:val="auto"/>
              </w:rPr>
              <w:t xml:space="preserve">Fixed maturities, at fair value (amortized cost: </w:t>
            </w:r>
            <w:r>
              <w:rPr>
                <w:rFonts w:ascii="Arial" w:cs="Arial" w:eastAsia="Arial" w:hAnsi="Arial"/>
                <w:sz w:val="18"/>
                <w:szCs w:val="18"/>
                <w:b w:val="1"/>
                <w:bCs w:val="1"/>
                <w:color w:val="auto"/>
              </w:rPr>
              <w:t>$21,073.4</w:t>
            </w:r>
            <w:r>
              <w:rPr>
                <w:rFonts w:ascii="Arial" w:cs="Arial" w:eastAsia="Arial" w:hAnsi="Arial"/>
                <w:sz w:val="18"/>
                <w:szCs w:val="18"/>
                <w:color w:val="auto"/>
              </w:rPr>
              <w:t xml:space="preserve"> and $21,061.4, respectively)</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$23,519.0</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22,905.2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 xml:space="preserve">Marketable equity securities, at fair value (cost: </w:t>
            </w:r>
            <w:r>
              <w:rPr>
                <w:rFonts w:ascii="Arial" w:cs="Arial" w:eastAsia="Arial" w:hAnsi="Arial"/>
                <w:sz w:val="18"/>
                <w:szCs w:val="18"/>
                <w:b w:val="1"/>
                <w:bCs w:val="1"/>
                <w:color w:val="auto"/>
              </w:rPr>
              <w:t>$52.0</w:t>
            </w:r>
            <w:r>
              <w:rPr>
                <w:rFonts w:ascii="Arial" w:cs="Arial" w:eastAsia="Arial" w:hAnsi="Arial"/>
                <w:sz w:val="18"/>
                <w:szCs w:val="18"/>
                <w:color w:val="auto"/>
              </w:rPr>
              <w:t xml:space="preserve"> and $52.4, respectively)</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Trading securities:</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 xml:space="preserve">Marketable equity securities, at fair value (cost: </w:t>
            </w:r>
            <w:r>
              <w:rPr>
                <w:rFonts w:ascii="Arial" w:cs="Arial" w:eastAsia="Arial" w:hAnsi="Arial"/>
                <w:sz w:val="18"/>
                <w:szCs w:val="18"/>
                <w:b w:val="1"/>
                <w:bCs w:val="1"/>
                <w:color w:val="auto"/>
              </w:rPr>
              <w:t>$498.2</w:t>
            </w:r>
            <w:r>
              <w:rPr>
                <w:rFonts w:ascii="Arial" w:cs="Arial" w:eastAsia="Arial" w:hAnsi="Arial"/>
                <w:sz w:val="18"/>
                <w:szCs w:val="18"/>
                <w:color w:val="auto"/>
              </w:rPr>
              <w:t xml:space="preserve"> and $365.4, respectively)</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552.7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Mortgage loans, net</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3,094.4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Policy loans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w w:val="98"/>
              </w:rPr>
              <w:t xml:space="preserve">Investments in limited partnerships (includes </w:t>
            </w:r>
            <w:r>
              <w:rPr>
                <w:rFonts w:ascii="Arial" w:cs="Arial" w:eastAsia="Arial" w:hAnsi="Arial"/>
                <w:sz w:val="18"/>
                <w:szCs w:val="18"/>
                <w:b w:val="1"/>
                <w:bCs w:val="1"/>
                <w:color w:val="auto"/>
                <w:w w:val="98"/>
              </w:rPr>
              <w:t>$28.6</w:t>
            </w:r>
            <w:r>
              <w:rPr>
                <w:rFonts w:ascii="Arial" w:cs="Arial" w:eastAsia="Arial" w:hAnsi="Arial"/>
                <w:sz w:val="18"/>
                <w:szCs w:val="18"/>
                <w:color w:val="auto"/>
                <w:w w:val="98"/>
              </w:rPr>
              <w:t xml:space="preserve"> and $27.8 measured at fair value, respectively)</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239.3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invested assets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Total investments</w:t>
            </w:r>
          </w:p>
        </w:tc>
        <w:tc>
          <w:tcPr>
            <w:tcW w:w="7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27,556.4</w:t>
            </w: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26,171.7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130.8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Accrued investment income</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276.2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Reinsurance recoverables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302.1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Deferred policy acquisition costs</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155.8</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and other assets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231.9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Separate account assets</w:t>
            </w:r>
          </w:p>
        </w:tc>
        <w:tc>
          <w:tcPr>
            <w:tcW w:w="7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807.7</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29,460.9</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28,183.3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ind w:left="2520"/>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60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Funds held under deposit contracts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$23,068.5</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22,449.5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Future policy benefits</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390.6</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Policy and contract claims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162.2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Other policyholders’ funds</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113.9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449.4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Deferred income tax liabilities, net</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628.9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209.6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Separate account liabilities</w:t>
            </w:r>
          </w:p>
        </w:tc>
        <w:tc>
          <w:tcPr>
            <w:tcW w:w="7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807.7</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25,830.8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25,068.4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8"/>
                <w:szCs w:val="18"/>
                <w:i w:val="1"/>
                <w:iCs w:val="1"/>
                <w:color w:val="auto"/>
              </w:rPr>
              <w:t>(Note 14)</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w w:val="95"/>
              </w:rPr>
              <w:t xml:space="preserve">Common stock, $0.01 par value; 750,000,000 shares authorized; </w:t>
            </w:r>
            <w:r>
              <w:rPr>
                <w:rFonts w:ascii="Arial" w:cs="Arial" w:eastAsia="Arial" w:hAnsi="Arial"/>
                <w:sz w:val="18"/>
                <w:szCs w:val="18"/>
                <w:b w:val="1"/>
                <w:bCs w:val="1"/>
                <w:color w:val="auto"/>
                <w:w w:val="95"/>
              </w:rPr>
              <w:t>119,087,667</w:t>
            </w:r>
            <w:r>
              <w:rPr>
                <w:rFonts w:ascii="Arial" w:cs="Arial" w:eastAsia="Arial" w:hAnsi="Arial"/>
                <w:sz w:val="18"/>
                <w:szCs w:val="18"/>
                <w:color w:val="auto"/>
                <w:w w:val="95"/>
              </w:rPr>
              <w:t xml:space="preserve"> issued and outstanding as of</w:t>
            </w: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December 31, 2012; 118,637,379 issued and outstanding as of December 31, 2011</w:t>
            </w:r>
          </w:p>
        </w:tc>
        <w:tc>
          <w:tcPr>
            <w:tcW w:w="144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1,459.3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798.4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net of taxes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1,371.2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7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3,630.1</w:t>
            </w:r>
          </w:p>
        </w:tc>
        <w:tc>
          <w:tcPr>
            <w:tcW w:w="5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29,460.9</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28,183.3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7"/>
              </w:rPr>
              <w:t>For the Years Ended December 31,</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(As adjusted)</w:t>
            </w:r>
          </w:p>
        </w:tc>
        <w:tc>
          <w:tcPr>
            <w:tcW w:w="68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Premiums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605.0</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540.5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3"/>
              </w:rPr>
              <w:t>1,275.2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1,270.9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Policy fees, contract charges, and other</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189.9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180.7</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realized investment gains (losses):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720"/>
              <w:spacing w:after="0"/>
              <w:rPr>
                <w:sz w:val="20"/>
                <w:szCs w:val="20"/>
                <w:color w:val="auto"/>
              </w:rPr>
            </w:pPr>
            <w:r>
              <w:rPr>
                <w:rFonts w:ascii="Arial" w:cs="Arial" w:eastAsia="Arial" w:hAnsi="Arial"/>
                <w:sz w:val="18"/>
                <w:szCs w:val="18"/>
                <w:color w:val="auto"/>
              </w:rPr>
              <w:t>Total other-than-temporary impairment losses on securities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Less: portion recognized in other comprehensive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vMerge w:val="restart"/>
          </w:tcPr>
          <w:p>
            <w:pPr>
              <w:ind w:left="1280"/>
              <w:spacing w:after="0"/>
              <w:rPr>
                <w:sz w:val="20"/>
                <w:szCs w:val="20"/>
                <w:color w:val="auto"/>
              </w:rPr>
            </w:pPr>
            <w:r>
              <w:rPr>
                <w:rFonts w:ascii="Arial" w:cs="Arial" w:eastAsia="Arial" w:hAnsi="Arial"/>
                <w:sz w:val="18"/>
                <w:szCs w:val="18"/>
                <w:color w:val="auto"/>
              </w:rPr>
              <w:t>Net impairment losses recognized in earnings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(29.0)</w:t>
            </w:r>
          </w:p>
        </w:tc>
        <w:tc>
          <w:tcPr>
            <w:tcW w:w="8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net realized investment gains (losses)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Net realized investment gains (losses)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3"/>
              </w:rPr>
              <w:t>2,101.2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1,999.3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1,878.8</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Benefits and 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Policyholder benefits and claims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439.0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381.4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Interest credited</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932.8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925.9</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underwriting and operating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360.5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317.9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deferred policy acquisition costs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Total benefits and expenses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3"/>
              </w:rPr>
              <w:t>1,831.1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1,726.1</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1,600.5</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7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before income taxes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270.1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273.2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48.8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provision for income taxes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205.4</w:t>
            </w:r>
          </w:p>
        </w:tc>
        <w:tc>
          <w:tcPr>
            <w:tcW w:w="80" w:type="dxa"/>
            <w:vAlign w:val="bottom"/>
          </w:tcPr>
          <w:p>
            <w:pPr>
              <w:spacing w:after="0"/>
              <w:rPr>
                <w:sz w:val="19"/>
                <w:szCs w:val="19"/>
                <w:color w:val="auto"/>
              </w:rPr>
            </w:pP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195.8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1.49</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1.49</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323"/>
        </w:trPr>
        <w:tc>
          <w:tcPr>
            <w:tcW w:w="772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6"/>
              </w:rPr>
              <w:t>138.018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137.491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135.609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6"/>
              </w:rPr>
              <w:t>138.024</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w w:val="95"/>
              </w:rPr>
              <w:t>137.503</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135.618</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0.28</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For the Years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5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2011</w:t>
            </w:r>
          </w:p>
        </w:tc>
        <w:tc>
          <w:tcPr>
            <w:tcW w:w="420" w:type="dxa"/>
            <w:vAlign w:val="bottom"/>
          </w:tcPr>
          <w:p>
            <w:pPr>
              <w:spacing w:after="0"/>
              <w:rPr>
                <w:sz w:val="12"/>
                <w:szCs w:val="12"/>
                <w:color w:val="auto"/>
              </w:rPr>
            </w:pPr>
          </w:p>
        </w:tc>
        <w:tc>
          <w:tcPr>
            <w:tcW w:w="660" w:type="dxa"/>
            <w:vAlign w:val="bottom"/>
            <w:gridSpan w:val="2"/>
          </w:tcPr>
          <w:p>
            <w:pPr>
              <w:jc w:val="center"/>
              <w:ind w:left="15"/>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4"/>
                <w:szCs w:val="14"/>
                <w:b w:val="1"/>
                <w:bCs w:val="1"/>
                <w:color w:val="auto"/>
              </w:rPr>
              <w:t>(As</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adjusted)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$205.4</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195.8</w:t>
            </w:r>
          </w:p>
        </w:tc>
        <w:tc>
          <w:tcPr>
            <w:tcW w:w="4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 comprehensive income, net of taxes: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2"/>
              </w:rPr>
              <w:t>Changes in unrealized gains (losses) on available-for-sale securities, net of reclassification adjustments (net of</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 xml:space="preserve">taxes of </w:t>
            </w:r>
            <w:r>
              <w:rPr>
                <w:rFonts w:ascii="Arial" w:cs="Arial" w:eastAsia="Arial" w:hAnsi="Arial"/>
                <w:sz w:val="18"/>
                <w:szCs w:val="18"/>
                <w:b w:val="1"/>
                <w:bCs w:val="1"/>
                <w:color w:val="auto"/>
              </w:rPr>
              <w:t>$213.3</w:t>
            </w:r>
            <w:r>
              <w:rPr>
                <w:rFonts w:ascii="Arial" w:cs="Arial" w:eastAsia="Arial" w:hAnsi="Arial"/>
                <w:sz w:val="18"/>
                <w:szCs w:val="18"/>
                <w:color w:val="auto"/>
              </w:rPr>
              <w:t>, $348.3 and $301.6)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396.6</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646.7</w:t>
            </w:r>
          </w:p>
        </w:tc>
        <w:tc>
          <w:tcPr>
            <w:tcW w:w="4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w w:val="94"/>
              </w:rPr>
              <w:t xml:space="preserve">Other-than-temporary impairments on fixed maturities not related to credit losses (net of taxes of </w:t>
            </w:r>
            <w:r>
              <w:rPr>
                <w:rFonts w:ascii="Arial" w:cs="Arial" w:eastAsia="Arial" w:hAnsi="Arial"/>
                <w:sz w:val="18"/>
                <w:szCs w:val="18"/>
                <w:b w:val="1"/>
                <w:bCs w:val="1"/>
                <w:color w:val="auto"/>
                <w:w w:val="94"/>
              </w:rPr>
              <w:t>$(2.8)</w:t>
            </w:r>
            <w:r>
              <w:rPr>
                <w:rFonts w:ascii="Arial" w:cs="Arial" w:eastAsia="Arial" w:hAnsi="Arial"/>
                <w:sz w:val="18"/>
                <w:szCs w:val="18"/>
                <w:color w:val="auto"/>
                <w:w w:val="94"/>
              </w:rPr>
              <w:t>, $0.3</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(5.3)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and $(11.3))</w:t>
            </w:r>
          </w:p>
        </w:tc>
        <w:tc>
          <w:tcPr>
            <w:tcW w:w="6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0.6</w:t>
            </w:r>
          </w:p>
        </w:tc>
        <w:tc>
          <w:tcPr>
            <w:tcW w:w="42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w w:val="97"/>
              </w:rPr>
              <w:t>Impact of net unrealized investment (gains) losses on deferred policy acquisition costs and deferred sales</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 xml:space="preserve">inducements (net of taxes of </w:t>
            </w:r>
            <w:r>
              <w:rPr>
                <w:rFonts w:ascii="Arial" w:cs="Arial" w:eastAsia="Arial" w:hAnsi="Arial"/>
                <w:sz w:val="18"/>
                <w:szCs w:val="18"/>
                <w:b w:val="1"/>
                <w:bCs w:val="1"/>
                <w:color w:val="auto"/>
              </w:rPr>
              <w:t>$(24.6)</w:t>
            </w:r>
            <w:r>
              <w:rPr>
                <w:rFonts w:ascii="Arial" w:cs="Arial" w:eastAsia="Arial" w:hAnsi="Arial"/>
                <w:sz w:val="18"/>
                <w:szCs w:val="18"/>
                <w:color w:val="auto"/>
              </w:rPr>
              <w:t>, $(34.0) and $(29.1))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(45.9)</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(62.8)</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 xml:space="preserve">Impact of cash flow hedges (net of taxes of </w:t>
            </w:r>
            <w:r>
              <w:rPr>
                <w:rFonts w:ascii="Arial" w:cs="Arial" w:eastAsia="Arial" w:hAnsi="Arial"/>
                <w:sz w:val="18"/>
                <w:szCs w:val="18"/>
                <w:b w:val="1"/>
                <w:bCs w:val="1"/>
                <w:color w:val="auto"/>
              </w:rPr>
              <w:t>$(0.8)</w:t>
            </w:r>
            <w:r>
              <w:rPr>
                <w:rFonts w:ascii="Arial" w:cs="Arial" w:eastAsia="Arial" w:hAnsi="Arial"/>
                <w:sz w:val="18"/>
                <w:szCs w:val="18"/>
                <w:color w:val="auto"/>
              </w:rPr>
              <w:t>, $2.8 and $0.0)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589.7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549.3</w:t>
            </w:r>
          </w:p>
        </w:tc>
        <w:tc>
          <w:tcPr>
            <w:tcW w:w="160" w:type="dxa"/>
            <w:vAlign w:val="bottom"/>
          </w:tcPr>
          <w:p>
            <w:pPr>
              <w:spacing w:after="0"/>
              <w:rPr>
                <w:sz w:val="19"/>
                <w:szCs w:val="19"/>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785.5</w:t>
            </w:r>
          </w:p>
        </w:tc>
        <w:tc>
          <w:tcPr>
            <w:tcW w:w="42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$ 679.0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Additional</w:t>
            </w: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Common</w:t>
            </w:r>
          </w:p>
        </w:tc>
        <w:tc>
          <w:tcPr>
            <w:tcW w:w="540" w:type="dxa"/>
            <w:vAlign w:val="bottom"/>
          </w:tcPr>
          <w:p>
            <w:pPr>
              <w:spacing w:after="0"/>
              <w:rPr>
                <w:sz w:val="12"/>
                <w:szCs w:val="12"/>
                <w:color w:val="auto"/>
              </w:rPr>
            </w:pPr>
          </w:p>
        </w:tc>
        <w:tc>
          <w:tcPr>
            <w:tcW w:w="62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rPr>
              <w:t>Paid-in</w:t>
            </w:r>
          </w:p>
        </w:tc>
        <w:tc>
          <w:tcPr>
            <w:tcW w:w="54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Retained</w:t>
            </w:r>
          </w:p>
        </w:tc>
        <w:tc>
          <w:tcPr>
            <w:tcW w:w="28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61"/>
        </w:trPr>
        <w:tc>
          <w:tcPr>
            <w:tcW w:w="5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rPr>
              <w:t>Stock</w:t>
            </w:r>
          </w:p>
        </w:tc>
        <w:tc>
          <w:tcPr>
            <w:tcW w:w="54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4"/>
                <w:szCs w:val="14"/>
                <w:b w:val="1"/>
                <w:bCs w:val="1"/>
                <w:color w:val="auto"/>
              </w:rPr>
              <w:t>Capital</w:t>
            </w:r>
          </w:p>
        </w:tc>
        <w:tc>
          <w:tcPr>
            <w:tcW w:w="54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3"/>
              </w:rPr>
              <w:t>Earnings</w:t>
            </w:r>
          </w:p>
        </w:tc>
        <w:tc>
          <w:tcPr>
            <w:tcW w:w="280" w:type="dxa"/>
            <w:vAlign w:val="bottom"/>
          </w:tcPr>
          <w:p>
            <w:pPr>
              <w:spacing w:after="0"/>
              <w:rPr>
                <w:sz w:val="14"/>
                <w:szCs w:val="14"/>
                <w:color w:val="auto"/>
              </w:rPr>
            </w:pPr>
          </w:p>
        </w:tc>
        <w:tc>
          <w:tcPr>
            <w:tcW w:w="15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6"/>
              </w:rPr>
              <w:t>Income (Loss)</w:t>
            </w: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
        </w:trPr>
        <w:tc>
          <w:tcPr>
            <w:tcW w:w="56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Balances as of January 1, 2010, as adjusted</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0.9</w:t>
            </w:r>
          </w:p>
        </w:tc>
        <w:tc>
          <w:tcPr>
            <w:tcW w:w="54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$1,165.7</w:t>
            </w:r>
          </w:p>
        </w:tc>
        <w:tc>
          <w:tcPr>
            <w:tcW w:w="54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$ 316.4</w:t>
            </w:r>
          </w:p>
        </w:tc>
        <w:tc>
          <w:tcPr>
            <w:tcW w:w="32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1,433.3</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80" w:type="dxa"/>
            <w:vAlign w:val="bottom"/>
          </w:tcPr>
          <w:p>
            <w:pPr>
              <w:ind w:left="880"/>
              <w:spacing w:after="0"/>
              <w:rPr>
                <w:sz w:val="20"/>
                <w:szCs w:val="20"/>
                <w:color w:val="auto"/>
              </w:rPr>
            </w:pPr>
            <w:r>
              <w:rPr>
                <w:rFonts w:ascii="Arial" w:cs="Arial" w:eastAsia="Arial" w:hAnsi="Arial"/>
                <w:sz w:val="18"/>
                <w:szCs w:val="18"/>
                <w:color w:val="auto"/>
              </w:rPr>
              <w:t>Cumulative effect of adoption — new accounting standard</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1080"/>
              <w:spacing w:after="0"/>
              <w:rPr>
                <w:sz w:val="20"/>
                <w:szCs w:val="20"/>
                <w:color w:val="auto"/>
              </w:rPr>
            </w:pPr>
            <w:r>
              <w:rPr>
                <w:rFonts w:ascii="Arial" w:cs="Arial" w:eastAsia="Arial" w:hAnsi="Arial"/>
                <w:sz w:val="18"/>
                <w:szCs w:val="18"/>
                <w:color w:val="auto"/>
              </w:rPr>
              <w:t>(net of taxes of $(10.8))</w:t>
            </w:r>
          </w:p>
        </w:tc>
        <w:tc>
          <w:tcPr>
            <w:tcW w:w="8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7"/>
        </w:trPr>
        <w:tc>
          <w:tcPr>
            <w:tcW w:w="5680" w:type="dxa"/>
            <w:vAlign w:val="bottom"/>
            <w:tcBorders>
              <w:right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Common stock issued (net of issuance costs of $20.6)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0.3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Comprehensive income, net of taxes:</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right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Net income, as adjusted</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193.8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23"/>
        </w:trPr>
        <w:tc>
          <w:tcPr>
            <w:tcW w:w="5680" w:type="dxa"/>
            <w:vAlign w:val="bottom"/>
          </w:tcPr>
          <w:p>
            <w:pPr>
              <w:ind w:left="880"/>
              <w:spacing w:after="0"/>
              <w:rPr>
                <w:sz w:val="20"/>
                <w:szCs w:val="20"/>
                <w:color w:val="auto"/>
              </w:rPr>
            </w:pPr>
            <w:r>
              <w:rPr>
                <w:rFonts w:ascii="Arial" w:cs="Arial" w:eastAsia="Arial" w:hAnsi="Arial"/>
                <w:sz w:val="18"/>
                <w:szCs w:val="18"/>
                <w:color w:val="auto"/>
              </w:rPr>
              <w:t>Other comprehensive income, as adjusted</w:t>
            </w:r>
          </w:p>
        </w:tc>
        <w:tc>
          <w:tcPr>
            <w:tcW w:w="8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485.2</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8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comprehensive income, as adjusted</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679.0</w:t>
            </w: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68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Dividends declared</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Balances as of December 31, 2010, as adjusted</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8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40" w:type="dxa"/>
            <w:vAlign w:val="bottom"/>
          </w:tcPr>
          <w:p>
            <w:pPr>
              <w:ind w:left="220"/>
              <w:spacing w:after="0"/>
              <w:rPr>
                <w:sz w:val="20"/>
                <w:szCs w:val="20"/>
                <w:color w:val="auto"/>
              </w:rPr>
            </w:pPr>
            <w:r>
              <w:rPr>
                <w:rFonts w:ascii="Arial" w:cs="Arial" w:eastAsia="Arial" w:hAnsi="Arial"/>
                <w:sz w:val="18"/>
                <w:szCs w:val="18"/>
                <w:color w:val="auto"/>
                <w:w w:val="79"/>
              </w:rPr>
              <w:t>1.2</w:t>
            </w: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1,450.2</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$ 467.6</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437.6</w:t>
            </w:r>
          </w:p>
        </w:tc>
        <w:tc>
          <w:tcPr>
            <w:tcW w:w="6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2,356.6</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8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Balances as of January 1, 2011, as adjusted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$1,450.2</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$ 467.6</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2,356.6</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Comprehensive income, net of taxes:</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right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Net income, as adjusted</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195.8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23"/>
        </w:trPr>
        <w:tc>
          <w:tcPr>
            <w:tcW w:w="5680" w:type="dxa"/>
            <w:vAlign w:val="bottom"/>
          </w:tcPr>
          <w:p>
            <w:pPr>
              <w:ind w:left="880"/>
              <w:spacing w:after="0"/>
              <w:rPr>
                <w:sz w:val="20"/>
                <w:szCs w:val="20"/>
                <w:color w:val="auto"/>
              </w:rPr>
            </w:pPr>
            <w:r>
              <w:rPr>
                <w:rFonts w:ascii="Arial" w:cs="Arial" w:eastAsia="Arial" w:hAnsi="Arial"/>
                <w:sz w:val="18"/>
                <w:szCs w:val="18"/>
                <w:color w:val="auto"/>
              </w:rPr>
              <w:t>Other comprehensive income, as adjusted</w:t>
            </w:r>
          </w:p>
        </w:tc>
        <w:tc>
          <w:tcPr>
            <w:tcW w:w="8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589.7</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8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comprehensive income, as adjusted</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785.5</w:t>
            </w: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68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Dividends declared</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Balances as of December 31, 2011, as adjusted</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8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40" w:type="dxa"/>
            <w:vAlign w:val="bottom"/>
          </w:tcPr>
          <w:p>
            <w:pPr>
              <w:ind w:left="220"/>
              <w:spacing w:after="0"/>
              <w:rPr>
                <w:sz w:val="20"/>
                <w:szCs w:val="20"/>
                <w:color w:val="auto"/>
              </w:rPr>
            </w:pPr>
            <w:r>
              <w:rPr>
                <w:rFonts w:ascii="Arial" w:cs="Arial" w:eastAsia="Arial" w:hAnsi="Arial"/>
                <w:sz w:val="18"/>
                <w:szCs w:val="18"/>
                <w:color w:val="auto"/>
                <w:w w:val="79"/>
              </w:rPr>
              <w:t>1.2</w:t>
            </w: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1,454.6</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$ 631.8</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1,027.3</w:t>
            </w:r>
          </w:p>
        </w:tc>
        <w:tc>
          <w:tcPr>
            <w:tcW w:w="6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3,114.9</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as of January 1, 2012, as adjusted</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$1,454.6</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$ 631.8</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1,027.3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3,114.9</w:t>
            </w: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Comprehensive income, net of taxes:</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right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205.4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205.4</w:t>
            </w:r>
          </w:p>
        </w:tc>
        <w:tc>
          <w:tcPr>
            <w:tcW w:w="0" w:type="dxa"/>
            <w:vAlign w:val="bottom"/>
          </w:tcPr>
          <w:p>
            <w:pPr>
              <w:spacing w:after="0"/>
              <w:rPr>
                <w:sz w:val="1"/>
                <w:szCs w:val="1"/>
                <w:color w:val="auto"/>
              </w:rPr>
            </w:pPr>
          </w:p>
        </w:tc>
      </w:tr>
      <w:tr>
        <w:trPr>
          <w:trHeight w:val="223"/>
        </w:trPr>
        <w:tc>
          <w:tcPr>
            <w:tcW w:w="5680" w:type="dxa"/>
            <w:vAlign w:val="bottom"/>
          </w:tcPr>
          <w:p>
            <w:pPr>
              <w:ind w:left="880"/>
              <w:spacing w:after="0"/>
              <w:rPr>
                <w:sz w:val="20"/>
                <w:szCs w:val="20"/>
                <w:color w:val="auto"/>
              </w:rPr>
            </w:pPr>
            <w:r>
              <w:rPr>
                <w:rFonts w:ascii="Arial" w:cs="Arial" w:eastAsia="Arial" w:hAnsi="Arial"/>
                <w:sz w:val="18"/>
                <w:szCs w:val="18"/>
                <w:color w:val="auto"/>
              </w:rPr>
              <w:t>Other comprehensive income</w:t>
            </w:r>
          </w:p>
        </w:tc>
        <w:tc>
          <w:tcPr>
            <w:tcW w:w="8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62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343.9</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8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comprehensive income, net of taxes</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549.3</w:t>
            </w: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4.7</w:t>
            </w:r>
          </w:p>
        </w:tc>
        <w:tc>
          <w:tcPr>
            <w:tcW w:w="5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16"/>
        </w:trPr>
        <w:tc>
          <w:tcPr>
            <w:tcW w:w="568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Dividends declared</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(38.8)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(38.8)</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Balances as of December 31, 2012</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1.2</w:t>
            </w:r>
          </w:p>
        </w:tc>
        <w:tc>
          <w:tcPr>
            <w:tcW w:w="5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1,459.3</w:t>
            </w:r>
          </w:p>
        </w:tc>
        <w:tc>
          <w:tcPr>
            <w:tcW w:w="5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$ 798.4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1,371.2</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2"/>
              </w:rPr>
              <w:t>For the Year Ended December 31,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(As adjusted)</w:t>
            </w:r>
          </w:p>
        </w:tc>
        <w:tc>
          <w:tcPr>
            <w:tcW w:w="68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(As adjusted)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3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ind w:left="440"/>
              <w:spacing w:after="0" w:line="149" w:lineRule="exact"/>
              <w:rPr>
                <w:sz w:val="20"/>
                <w:szCs w:val="20"/>
                <w:color w:val="auto"/>
              </w:rPr>
            </w:pPr>
            <w:r>
              <w:rPr>
                <w:rFonts w:ascii="Arial" w:cs="Arial" w:eastAsia="Arial" w:hAnsi="Arial"/>
                <w:sz w:val="14"/>
                <w:szCs w:val="14"/>
                <w:color w:val="auto"/>
              </w:rPr>
              <w:t>Net income</w:t>
            </w:r>
          </w:p>
        </w:tc>
        <w:tc>
          <w:tcPr>
            <w:tcW w:w="1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205.4</w:t>
            </w:r>
          </w:p>
        </w:tc>
        <w:tc>
          <w:tcPr>
            <w:tcW w:w="7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195.8</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193.8</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3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ind w:left="1300"/>
              <w:spacing w:after="0" w:line="149" w:lineRule="exact"/>
              <w:rPr>
                <w:sz w:val="20"/>
                <w:szCs w:val="20"/>
                <w:color w:val="auto"/>
              </w:rPr>
            </w:pPr>
            <w:r>
              <w:rPr>
                <w:rFonts w:ascii="Arial" w:cs="Arial" w:eastAsia="Arial" w:hAnsi="Arial"/>
                <w:sz w:val="14"/>
                <w:szCs w:val="14"/>
                <w:color w:val="auto"/>
              </w:rPr>
              <w:t>Net realized investment (gains) losses</w:t>
            </w:r>
          </w:p>
        </w:tc>
        <w:tc>
          <w:tcPr>
            <w:tcW w:w="13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(31.1)</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(7.2)</w:t>
            </w:r>
          </w:p>
        </w:tc>
        <w:tc>
          <w:tcPr>
            <w:tcW w:w="16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Accretion and amortization of invested assets, net</w:t>
            </w:r>
          </w:p>
        </w:tc>
        <w:tc>
          <w:tcPr>
            <w:tcW w:w="13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48.4</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48.8</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49"/>
        </w:trPr>
        <w:tc>
          <w:tcPr>
            <w:tcW w:w="6580" w:type="dxa"/>
            <w:vAlign w:val="bottom"/>
          </w:tcPr>
          <w:p>
            <w:pPr>
              <w:ind w:left="1300"/>
              <w:spacing w:after="0" w:line="149" w:lineRule="exact"/>
              <w:rPr>
                <w:sz w:val="20"/>
                <w:szCs w:val="20"/>
                <w:color w:val="auto"/>
              </w:rPr>
            </w:pPr>
            <w:r>
              <w:rPr>
                <w:rFonts w:ascii="Arial" w:cs="Arial" w:eastAsia="Arial" w:hAnsi="Arial"/>
                <w:sz w:val="14"/>
                <w:szCs w:val="14"/>
                <w:color w:val="auto"/>
              </w:rPr>
              <w:t>Accrued interest on fixed maturities</w:t>
            </w:r>
          </w:p>
        </w:tc>
        <w:tc>
          <w:tcPr>
            <w:tcW w:w="13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(19.6)</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(26.4)</w:t>
            </w:r>
          </w:p>
        </w:tc>
        <w:tc>
          <w:tcPr>
            <w:tcW w:w="16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Amortization and depreciation</w:t>
            </w:r>
          </w:p>
        </w:tc>
        <w:tc>
          <w:tcPr>
            <w:tcW w:w="13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26.9</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19.7</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9"/>
        </w:trPr>
        <w:tc>
          <w:tcPr>
            <w:tcW w:w="6580" w:type="dxa"/>
            <w:vAlign w:val="bottom"/>
          </w:tcPr>
          <w:p>
            <w:pPr>
              <w:ind w:left="1300"/>
              <w:spacing w:after="0" w:line="149" w:lineRule="exact"/>
              <w:rPr>
                <w:sz w:val="20"/>
                <w:szCs w:val="20"/>
                <w:color w:val="auto"/>
              </w:rPr>
            </w:pPr>
            <w:r>
              <w:rPr>
                <w:rFonts w:ascii="Arial" w:cs="Arial" w:eastAsia="Arial" w:hAnsi="Arial"/>
                <w:sz w:val="14"/>
                <w:szCs w:val="14"/>
                <w:color w:val="auto"/>
              </w:rPr>
              <w:t>Deferred income tax provision (benefit)</w:t>
            </w:r>
          </w:p>
        </w:tc>
        <w:tc>
          <w:tcPr>
            <w:tcW w:w="13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48.8</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(8.6)</w:t>
            </w: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Interest credited on deposit contracts</w:t>
            </w:r>
          </w:p>
        </w:tc>
        <w:tc>
          <w:tcPr>
            <w:tcW w:w="13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932.8</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925.9</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899.5</w:t>
            </w:r>
          </w:p>
        </w:tc>
        <w:tc>
          <w:tcPr>
            <w:tcW w:w="0" w:type="dxa"/>
            <w:vAlign w:val="bottom"/>
          </w:tcPr>
          <w:p>
            <w:pPr>
              <w:spacing w:after="0"/>
              <w:rPr>
                <w:sz w:val="1"/>
                <w:szCs w:val="1"/>
                <w:color w:val="auto"/>
              </w:rPr>
            </w:pPr>
          </w:p>
        </w:tc>
      </w:tr>
      <w:tr>
        <w:trPr>
          <w:trHeight w:val="149"/>
        </w:trPr>
        <w:tc>
          <w:tcPr>
            <w:tcW w:w="6580" w:type="dxa"/>
            <w:vAlign w:val="bottom"/>
          </w:tcPr>
          <w:p>
            <w:pPr>
              <w:ind w:left="1300"/>
              <w:spacing w:after="0" w:line="149" w:lineRule="exact"/>
              <w:rPr>
                <w:sz w:val="20"/>
                <w:szCs w:val="20"/>
                <w:color w:val="auto"/>
              </w:rPr>
            </w:pPr>
            <w:r>
              <w:rPr>
                <w:rFonts w:ascii="Arial" w:cs="Arial" w:eastAsia="Arial" w:hAnsi="Arial"/>
                <w:sz w:val="14"/>
                <w:szCs w:val="14"/>
                <w:color w:val="auto"/>
              </w:rPr>
              <w:t>Mortality and expense charges and administrative fees</w:t>
            </w:r>
          </w:p>
        </w:tc>
        <w:tc>
          <w:tcPr>
            <w:tcW w:w="13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(115.8)</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(109.0)</w:t>
            </w:r>
          </w:p>
        </w:tc>
        <w:tc>
          <w:tcPr>
            <w:tcW w:w="16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(103.1)</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Changes in, net of amounts acquired:</w:t>
            </w:r>
          </w:p>
        </w:tc>
        <w:tc>
          <w:tcPr>
            <w:tcW w:w="13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ind w:left="1740"/>
              <w:spacing w:after="0" w:line="149" w:lineRule="exact"/>
              <w:rPr>
                <w:sz w:val="20"/>
                <w:szCs w:val="20"/>
                <w:color w:val="auto"/>
              </w:rPr>
            </w:pPr>
            <w:r>
              <w:rPr>
                <w:rFonts w:ascii="Arial" w:cs="Arial" w:eastAsia="Arial" w:hAnsi="Arial"/>
                <w:sz w:val="14"/>
                <w:szCs w:val="14"/>
                <w:color w:val="auto"/>
              </w:rPr>
              <w:t>Accrued investment income</w:t>
            </w:r>
          </w:p>
        </w:tc>
        <w:tc>
          <w:tcPr>
            <w:tcW w:w="13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(6.8)</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(11.8)</w:t>
            </w:r>
          </w:p>
        </w:tc>
        <w:tc>
          <w:tcPr>
            <w:tcW w:w="16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1740"/>
              <w:spacing w:after="0" w:line="149" w:lineRule="exact"/>
              <w:rPr>
                <w:sz w:val="20"/>
                <w:szCs w:val="20"/>
                <w:color w:val="auto"/>
              </w:rPr>
            </w:pPr>
            <w:r>
              <w:rPr>
                <w:rFonts w:ascii="Arial" w:cs="Arial" w:eastAsia="Arial" w:hAnsi="Arial"/>
                <w:sz w:val="14"/>
                <w:szCs w:val="14"/>
                <w:color w:val="auto"/>
              </w:rPr>
              <w:t>Deferred policy acquisition costs, net</w:t>
            </w:r>
          </w:p>
        </w:tc>
        <w:tc>
          <w:tcPr>
            <w:tcW w:w="13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0.5</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(25.8)</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49"/>
        </w:trPr>
        <w:tc>
          <w:tcPr>
            <w:tcW w:w="6580" w:type="dxa"/>
            <w:vAlign w:val="bottom"/>
          </w:tcPr>
          <w:p>
            <w:pPr>
              <w:ind w:left="1740"/>
              <w:spacing w:after="0" w:line="149" w:lineRule="exact"/>
              <w:rPr>
                <w:sz w:val="20"/>
                <w:szCs w:val="20"/>
                <w:color w:val="auto"/>
              </w:rPr>
            </w:pPr>
            <w:r>
              <w:rPr>
                <w:rFonts w:ascii="Arial" w:cs="Arial" w:eastAsia="Arial" w:hAnsi="Arial"/>
                <w:sz w:val="14"/>
                <w:szCs w:val="14"/>
                <w:color w:val="auto"/>
              </w:rPr>
              <w:t>Other receivables</w:t>
            </w:r>
          </w:p>
        </w:tc>
        <w:tc>
          <w:tcPr>
            <w:tcW w:w="13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(19.4)</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(26.1)</w:t>
            </w:r>
          </w:p>
        </w:tc>
        <w:tc>
          <w:tcPr>
            <w:tcW w:w="16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1740"/>
              <w:spacing w:after="0" w:line="149" w:lineRule="exact"/>
              <w:rPr>
                <w:sz w:val="20"/>
                <w:szCs w:val="20"/>
                <w:color w:val="auto"/>
              </w:rPr>
            </w:pPr>
            <w:r>
              <w:rPr>
                <w:rFonts w:ascii="Arial" w:cs="Arial" w:eastAsia="Arial" w:hAnsi="Arial"/>
                <w:sz w:val="14"/>
                <w:szCs w:val="14"/>
                <w:color w:val="auto"/>
              </w:rPr>
              <w:t>Future policy benefits</w:t>
            </w:r>
          </w:p>
        </w:tc>
        <w:tc>
          <w:tcPr>
            <w:tcW w:w="13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(0.6)</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(7.2)</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6580" w:type="dxa"/>
            <w:vAlign w:val="bottom"/>
          </w:tcPr>
          <w:p>
            <w:pPr>
              <w:ind w:left="1740"/>
              <w:spacing w:after="0" w:line="149" w:lineRule="exact"/>
              <w:rPr>
                <w:sz w:val="20"/>
                <w:szCs w:val="20"/>
                <w:color w:val="auto"/>
              </w:rPr>
            </w:pPr>
            <w:r>
              <w:rPr>
                <w:rFonts w:ascii="Arial" w:cs="Arial" w:eastAsia="Arial" w:hAnsi="Arial"/>
                <w:sz w:val="14"/>
                <w:szCs w:val="14"/>
                <w:color w:val="auto"/>
              </w:rPr>
              <w:t>Policy and contract claims</w:t>
            </w:r>
          </w:p>
        </w:tc>
        <w:tc>
          <w:tcPr>
            <w:tcW w:w="13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(8.7)</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15.3</w:t>
            </w:r>
          </w:p>
        </w:tc>
        <w:tc>
          <w:tcPr>
            <w:tcW w:w="16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1740"/>
              <w:spacing w:after="0" w:line="149" w:lineRule="exact"/>
              <w:rPr>
                <w:sz w:val="20"/>
                <w:szCs w:val="20"/>
                <w:color w:val="auto"/>
              </w:rPr>
            </w:pPr>
            <w:r>
              <w:rPr>
                <w:rFonts w:ascii="Arial" w:cs="Arial" w:eastAsia="Arial" w:hAnsi="Arial"/>
                <w:sz w:val="14"/>
                <w:szCs w:val="14"/>
                <w:color w:val="auto"/>
              </w:rPr>
              <w:t>Current income taxes</w:t>
            </w:r>
          </w:p>
        </w:tc>
        <w:tc>
          <w:tcPr>
            <w:tcW w:w="13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(36.1)</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2.7</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49"/>
        </w:trPr>
        <w:tc>
          <w:tcPr>
            <w:tcW w:w="6580" w:type="dxa"/>
            <w:vAlign w:val="bottom"/>
          </w:tcPr>
          <w:p>
            <w:pPr>
              <w:ind w:left="1740"/>
              <w:spacing w:after="0" w:line="149" w:lineRule="exact"/>
              <w:rPr>
                <w:sz w:val="20"/>
                <w:szCs w:val="20"/>
                <w:color w:val="auto"/>
              </w:rPr>
            </w:pPr>
            <w:r>
              <w:rPr>
                <w:rFonts w:ascii="Arial" w:cs="Arial" w:eastAsia="Arial" w:hAnsi="Arial"/>
                <w:sz w:val="14"/>
                <w:szCs w:val="14"/>
                <w:color w:val="auto"/>
              </w:rPr>
              <w:t>Other assets and liabilities</w:t>
            </w:r>
          </w:p>
        </w:tc>
        <w:tc>
          <w:tcPr>
            <w:tcW w:w="13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(16.5)</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(0.4)</w:t>
            </w:r>
          </w:p>
        </w:tc>
        <w:tc>
          <w:tcPr>
            <w:tcW w:w="16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Other, net</w:t>
            </w:r>
          </w:p>
        </w:tc>
        <w:tc>
          <w:tcPr>
            <w:tcW w:w="13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3.0</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1.8</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880"/>
              <w:spacing w:after="0"/>
              <w:rPr>
                <w:sz w:val="20"/>
                <w:szCs w:val="20"/>
                <w:color w:val="auto"/>
              </w:rPr>
            </w:pPr>
            <w:r>
              <w:rPr>
                <w:rFonts w:ascii="Arial" w:cs="Arial" w:eastAsia="Arial" w:hAnsi="Arial"/>
                <w:sz w:val="14"/>
                <w:szCs w:val="14"/>
                <w:color w:val="auto"/>
              </w:rPr>
              <w:t>Total adjustments</w:t>
            </w:r>
          </w:p>
        </w:tc>
        <w:tc>
          <w:tcPr>
            <w:tcW w:w="13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80" w:type="dxa"/>
            <w:vAlign w:val="bottom"/>
            <w:vMerge w:val="continue"/>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805.8</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680"/>
              <w:spacing w:after="0" w:line="155" w:lineRule="exact"/>
              <w:rPr>
                <w:sz w:val="20"/>
                <w:szCs w:val="20"/>
                <w:color w:val="auto"/>
              </w:rPr>
            </w:pPr>
            <w:r>
              <w:rPr>
                <w:rFonts w:ascii="Arial" w:cs="Arial" w:eastAsia="Arial" w:hAnsi="Arial"/>
                <w:sz w:val="14"/>
                <w:szCs w:val="14"/>
                <w:color w:val="auto"/>
              </w:rPr>
              <w:t>791.7</w:t>
            </w:r>
          </w:p>
        </w:tc>
        <w:tc>
          <w:tcPr>
            <w:tcW w:w="160" w:type="dxa"/>
            <w:vAlign w:val="bottom"/>
          </w:tcPr>
          <w:p>
            <w:pPr>
              <w:spacing w:after="0"/>
              <w:rPr>
                <w:sz w:val="13"/>
                <w:szCs w:val="13"/>
                <w:color w:val="auto"/>
              </w:rPr>
            </w:pPr>
          </w:p>
        </w:tc>
        <w:tc>
          <w:tcPr>
            <w:tcW w:w="7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731.9</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13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1,011.2</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987.5</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925.7</w:t>
            </w:r>
          </w:p>
        </w:tc>
        <w:tc>
          <w:tcPr>
            <w:tcW w:w="0" w:type="dxa"/>
            <w:vAlign w:val="bottom"/>
          </w:tcPr>
          <w:p>
            <w:pPr>
              <w:spacing w:after="0"/>
              <w:rPr>
                <w:sz w:val="1"/>
                <w:szCs w:val="1"/>
                <w:color w:val="auto"/>
              </w:rPr>
            </w:pPr>
          </w:p>
        </w:tc>
      </w:tr>
      <w:tr>
        <w:trPr>
          <w:trHeight w:val="257"/>
        </w:trPr>
        <w:tc>
          <w:tcPr>
            <w:tcW w:w="658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Purchases of:</w:t>
            </w:r>
          </w:p>
        </w:tc>
        <w:tc>
          <w:tcPr>
            <w:tcW w:w="13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ind w:left="1300"/>
              <w:spacing w:after="0" w:line="149" w:lineRule="exact"/>
              <w:rPr>
                <w:sz w:val="20"/>
                <w:szCs w:val="20"/>
                <w:color w:val="auto"/>
              </w:rPr>
            </w:pPr>
            <w:r>
              <w:rPr>
                <w:rFonts w:ascii="Arial" w:cs="Arial" w:eastAsia="Arial" w:hAnsi="Arial"/>
                <w:sz w:val="14"/>
                <w:szCs w:val="14"/>
                <w:color w:val="auto"/>
              </w:rPr>
              <w:t>Fixed maturities and marketable equity securities</w:t>
            </w:r>
          </w:p>
        </w:tc>
        <w:tc>
          <w:tcPr>
            <w:tcW w:w="13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(3,777.1)</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(3,866.8)</w:t>
            </w:r>
          </w:p>
        </w:tc>
        <w:tc>
          <w:tcPr>
            <w:tcW w:w="16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(4,884.9)</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Other invested assets and investments in limited partnerships</w:t>
            </w:r>
          </w:p>
        </w:tc>
        <w:tc>
          <w:tcPr>
            <w:tcW w:w="13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(86.8)</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(55.0)</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(77.9)</w:t>
            </w:r>
          </w:p>
        </w:tc>
        <w:tc>
          <w:tcPr>
            <w:tcW w:w="0" w:type="dxa"/>
            <w:vAlign w:val="bottom"/>
          </w:tcPr>
          <w:p>
            <w:pPr>
              <w:spacing w:after="0"/>
              <w:rPr>
                <w:sz w:val="1"/>
                <w:szCs w:val="1"/>
                <w:color w:val="auto"/>
              </w:rPr>
            </w:pPr>
          </w:p>
        </w:tc>
      </w:tr>
      <w:tr>
        <w:trPr>
          <w:trHeight w:val="149"/>
        </w:trPr>
        <w:tc>
          <w:tcPr>
            <w:tcW w:w="6580" w:type="dxa"/>
            <w:vAlign w:val="bottom"/>
          </w:tcPr>
          <w:p>
            <w:pPr>
              <w:ind w:left="880"/>
              <w:spacing w:after="0" w:line="149" w:lineRule="exact"/>
              <w:rPr>
                <w:sz w:val="20"/>
                <w:szCs w:val="20"/>
                <w:color w:val="auto"/>
              </w:rPr>
            </w:pPr>
            <w:r>
              <w:rPr>
                <w:rFonts w:ascii="Arial" w:cs="Arial" w:eastAsia="Arial" w:hAnsi="Arial"/>
                <w:sz w:val="14"/>
                <w:szCs w:val="14"/>
                <w:color w:val="auto"/>
              </w:rPr>
              <w:t>Issuances of mortgage loans</w:t>
            </w:r>
          </w:p>
        </w:tc>
        <w:tc>
          <w:tcPr>
            <w:tcW w:w="13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(825.7)</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(956.9)</w:t>
            </w:r>
          </w:p>
        </w:tc>
        <w:tc>
          <w:tcPr>
            <w:tcW w:w="16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(592.1)</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Issuances of policy loans</w:t>
            </w:r>
          </w:p>
        </w:tc>
        <w:tc>
          <w:tcPr>
            <w:tcW w:w="13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(14.1)</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(13.5)</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9"/>
        </w:trPr>
        <w:tc>
          <w:tcPr>
            <w:tcW w:w="6580" w:type="dxa"/>
            <w:vAlign w:val="bottom"/>
          </w:tcPr>
          <w:p>
            <w:pPr>
              <w:ind w:left="880"/>
              <w:spacing w:after="0" w:line="149" w:lineRule="exact"/>
              <w:rPr>
                <w:sz w:val="20"/>
                <w:szCs w:val="20"/>
                <w:color w:val="auto"/>
              </w:rPr>
            </w:pPr>
            <w:r>
              <w:rPr>
                <w:rFonts w:ascii="Arial" w:cs="Arial" w:eastAsia="Arial" w:hAnsi="Arial"/>
                <w:sz w:val="14"/>
                <w:szCs w:val="14"/>
                <w:color w:val="auto"/>
              </w:rPr>
              <w:t>Maturities, calls, paydowns, and other repayments</w:t>
            </w:r>
          </w:p>
        </w:tc>
        <w:tc>
          <w:tcPr>
            <w:tcW w:w="13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1,740.4</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1,802.5</w:t>
            </w: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1,987.2</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Sales of:</w:t>
            </w:r>
          </w:p>
        </w:tc>
        <w:tc>
          <w:tcPr>
            <w:tcW w:w="13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ind w:left="880"/>
              <w:spacing w:after="0" w:line="149" w:lineRule="exact"/>
              <w:rPr>
                <w:sz w:val="20"/>
                <w:szCs w:val="20"/>
                <w:color w:val="auto"/>
              </w:rPr>
            </w:pPr>
            <w:r>
              <w:rPr>
                <w:rFonts w:ascii="Arial" w:cs="Arial" w:eastAsia="Arial" w:hAnsi="Arial"/>
                <w:sz w:val="14"/>
                <w:szCs w:val="14"/>
                <w:color w:val="auto"/>
              </w:rPr>
              <w:t>Fixed maturities and marketable equity securities</w:t>
            </w:r>
          </w:p>
        </w:tc>
        <w:tc>
          <w:tcPr>
            <w:tcW w:w="13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1,826.1</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1,240.6</w:t>
            </w: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1,017.4</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Other invested assets and investments in limited partnerships</w:t>
            </w:r>
          </w:p>
        </w:tc>
        <w:tc>
          <w:tcPr>
            <w:tcW w:w="13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19.9</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18.0</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49"/>
        </w:trPr>
        <w:tc>
          <w:tcPr>
            <w:tcW w:w="6580" w:type="dxa"/>
            <w:vAlign w:val="bottom"/>
          </w:tcPr>
          <w:p>
            <w:pPr>
              <w:ind w:left="1300"/>
              <w:spacing w:after="0" w:line="149" w:lineRule="exact"/>
              <w:rPr>
                <w:sz w:val="20"/>
                <w:szCs w:val="20"/>
                <w:color w:val="auto"/>
              </w:rPr>
            </w:pPr>
            <w:r>
              <w:rPr>
                <w:rFonts w:ascii="Arial" w:cs="Arial" w:eastAsia="Arial" w:hAnsi="Arial"/>
                <w:sz w:val="14"/>
                <w:szCs w:val="14"/>
                <w:color w:val="auto"/>
              </w:rPr>
              <w:t>Repayments of mortgage loans</w:t>
            </w:r>
          </w:p>
        </w:tc>
        <w:tc>
          <w:tcPr>
            <w:tcW w:w="13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233.9</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152.5</w:t>
            </w: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Repayments of policy loans</w:t>
            </w:r>
          </w:p>
        </w:tc>
        <w:tc>
          <w:tcPr>
            <w:tcW w:w="13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16.7</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15.1</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49"/>
        </w:trPr>
        <w:tc>
          <w:tcPr>
            <w:tcW w:w="6580" w:type="dxa"/>
            <w:vAlign w:val="bottom"/>
          </w:tcPr>
          <w:p>
            <w:pPr>
              <w:ind w:left="880"/>
              <w:spacing w:after="0" w:line="149" w:lineRule="exact"/>
              <w:rPr>
                <w:sz w:val="20"/>
                <w:szCs w:val="20"/>
                <w:color w:val="auto"/>
              </w:rPr>
            </w:pPr>
            <w:r>
              <w:rPr>
                <w:rFonts w:ascii="Arial" w:cs="Arial" w:eastAsia="Arial" w:hAnsi="Arial"/>
                <w:sz w:val="14"/>
                <w:szCs w:val="14"/>
                <w:color w:val="auto"/>
              </w:rPr>
              <w:t>Other, net</w:t>
            </w:r>
          </w:p>
        </w:tc>
        <w:tc>
          <w:tcPr>
            <w:tcW w:w="13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(2.6)</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15.6</w:t>
            </w:r>
          </w:p>
        </w:tc>
        <w:tc>
          <w:tcPr>
            <w:tcW w:w="16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13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(869.3)</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(1,647.9)</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(2,456.8)</w:t>
            </w:r>
          </w:p>
        </w:tc>
        <w:tc>
          <w:tcPr>
            <w:tcW w:w="0" w:type="dxa"/>
            <w:vAlign w:val="bottom"/>
          </w:tcPr>
          <w:p>
            <w:pPr>
              <w:spacing w:after="0"/>
              <w:rPr>
                <w:sz w:val="1"/>
                <w:szCs w:val="1"/>
                <w:color w:val="auto"/>
              </w:rPr>
            </w:pPr>
          </w:p>
        </w:tc>
      </w:tr>
      <w:tr>
        <w:trPr>
          <w:trHeight w:val="257"/>
        </w:trPr>
        <w:tc>
          <w:tcPr>
            <w:tcW w:w="658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Policyholder account balances:</w:t>
            </w:r>
          </w:p>
        </w:tc>
        <w:tc>
          <w:tcPr>
            <w:tcW w:w="13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ind w:left="1300"/>
              <w:spacing w:after="0" w:line="149" w:lineRule="exact"/>
              <w:rPr>
                <w:sz w:val="20"/>
                <w:szCs w:val="20"/>
                <w:color w:val="auto"/>
              </w:rPr>
            </w:pPr>
            <w:r>
              <w:rPr>
                <w:rFonts w:ascii="Arial" w:cs="Arial" w:eastAsia="Arial" w:hAnsi="Arial"/>
                <w:sz w:val="14"/>
                <w:szCs w:val="14"/>
                <w:color w:val="auto"/>
              </w:rPr>
              <w:t>Deposits</w:t>
            </w:r>
          </w:p>
        </w:tc>
        <w:tc>
          <w:tcPr>
            <w:tcW w:w="13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1,576.7</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2,238.2</w:t>
            </w: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2,649.6</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Withdrawals</w:t>
            </w:r>
          </w:p>
        </w:tc>
        <w:tc>
          <w:tcPr>
            <w:tcW w:w="13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(1,778.4)</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(1,588.3)</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(1,357.9)</w:t>
            </w:r>
          </w:p>
        </w:tc>
        <w:tc>
          <w:tcPr>
            <w:tcW w:w="0" w:type="dxa"/>
            <w:vAlign w:val="bottom"/>
          </w:tcPr>
          <w:p>
            <w:pPr>
              <w:spacing w:after="0"/>
              <w:rPr>
                <w:sz w:val="1"/>
                <w:szCs w:val="1"/>
                <w:color w:val="auto"/>
              </w:rPr>
            </w:pPr>
          </w:p>
        </w:tc>
      </w:tr>
      <w:tr>
        <w:trPr>
          <w:trHeight w:val="149"/>
        </w:trPr>
        <w:tc>
          <w:tcPr>
            <w:tcW w:w="6580" w:type="dxa"/>
            <w:vAlign w:val="bottom"/>
          </w:tcPr>
          <w:p>
            <w:pPr>
              <w:ind w:left="880"/>
              <w:spacing w:after="0" w:line="149" w:lineRule="exact"/>
              <w:rPr>
                <w:sz w:val="20"/>
                <w:szCs w:val="20"/>
                <w:color w:val="auto"/>
              </w:rPr>
            </w:pPr>
            <w:r>
              <w:rPr>
                <w:rFonts w:ascii="Arial" w:cs="Arial" w:eastAsia="Arial" w:hAnsi="Arial"/>
                <w:sz w:val="14"/>
                <w:szCs w:val="14"/>
                <w:color w:val="auto"/>
              </w:rPr>
              <w:t>Proceeds from issuance of common stock, net</w:t>
            </w:r>
          </w:p>
        </w:tc>
        <w:tc>
          <w:tcPr>
            <w:tcW w:w="13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1.7</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1.4</w:t>
            </w: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282.5</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Cash dividends paid on common stock</w:t>
            </w:r>
          </w:p>
        </w:tc>
        <w:tc>
          <w:tcPr>
            <w:tcW w:w="13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(38.8)</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(31.6)</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9"/>
        </w:trPr>
        <w:tc>
          <w:tcPr>
            <w:tcW w:w="6580" w:type="dxa"/>
            <w:vAlign w:val="bottom"/>
          </w:tcPr>
          <w:p>
            <w:pPr>
              <w:ind w:left="880"/>
              <w:spacing w:after="0" w:line="149" w:lineRule="exact"/>
              <w:rPr>
                <w:sz w:val="20"/>
                <w:szCs w:val="20"/>
                <w:color w:val="auto"/>
              </w:rPr>
            </w:pPr>
            <w:r>
              <w:rPr>
                <w:rFonts w:ascii="Arial" w:cs="Arial" w:eastAsia="Arial" w:hAnsi="Arial"/>
                <w:sz w:val="14"/>
                <w:szCs w:val="14"/>
                <w:color w:val="auto"/>
              </w:rPr>
              <w:t>Other, net</w:t>
            </w:r>
          </w:p>
        </w:tc>
        <w:tc>
          <w:tcPr>
            <w:tcW w:w="13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(14.6)</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8.4</w:t>
            </w:r>
          </w:p>
        </w:tc>
        <w:tc>
          <w:tcPr>
            <w:tcW w:w="16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5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13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(253.4)</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628.1</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1,547.9</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440"/>
              <w:spacing w:after="0"/>
              <w:rPr>
                <w:sz w:val="20"/>
                <w:szCs w:val="20"/>
                <w:color w:val="auto"/>
              </w:rPr>
            </w:pPr>
            <w:r>
              <w:rPr>
                <w:rFonts w:ascii="Arial" w:cs="Arial" w:eastAsia="Arial" w:hAnsi="Arial"/>
                <w:sz w:val="14"/>
                <w:szCs w:val="14"/>
                <w:color w:val="auto"/>
              </w:rPr>
              <w:t>Net increase (decrease) in cash and cash equivalents</w:t>
            </w:r>
          </w:p>
        </w:tc>
        <w:tc>
          <w:tcPr>
            <w:tcW w:w="13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80" w:type="dxa"/>
            <w:vAlign w:val="bottom"/>
            <w:vMerge w:val="continue"/>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(111.5)</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640"/>
              <w:spacing w:after="0" w:line="155" w:lineRule="exact"/>
              <w:rPr>
                <w:sz w:val="20"/>
                <w:szCs w:val="20"/>
                <w:color w:val="auto"/>
              </w:rPr>
            </w:pPr>
            <w:r>
              <w:rPr>
                <w:rFonts w:ascii="Arial" w:cs="Arial" w:eastAsia="Arial" w:hAnsi="Arial"/>
                <w:sz w:val="14"/>
                <w:szCs w:val="14"/>
                <w:color w:val="auto"/>
              </w:rPr>
              <w:t>(32.3)</w:t>
            </w:r>
          </w:p>
        </w:tc>
        <w:tc>
          <w:tcPr>
            <w:tcW w:w="160" w:type="dxa"/>
            <w:vAlign w:val="bottom"/>
          </w:tcPr>
          <w:p>
            <w:pPr>
              <w:spacing w:after="0"/>
              <w:rPr>
                <w:sz w:val="13"/>
                <w:szCs w:val="13"/>
                <w:color w:val="auto"/>
              </w:rPr>
            </w:pPr>
          </w:p>
        </w:tc>
        <w:tc>
          <w:tcPr>
            <w:tcW w:w="7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3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242.3</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274.6</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257.8</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4"/>
                <w:szCs w:val="14"/>
                <w:color w:val="auto"/>
              </w:rPr>
              <w:t>Cash and cash equivalents at end of period</w:t>
            </w:r>
          </w:p>
        </w:tc>
        <w:tc>
          <w:tcPr>
            <w:tcW w:w="13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80" w:type="dxa"/>
            <w:vAlign w:val="bottom"/>
            <w:vMerge w:val="continue"/>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130.8</w:t>
            </w:r>
          </w:p>
        </w:tc>
        <w:tc>
          <w:tcPr>
            <w:tcW w:w="720" w:type="dxa"/>
            <w:vAlign w:val="bottom"/>
            <w:gridSpan w:val="2"/>
          </w:tcPr>
          <w:p>
            <w:pPr>
              <w:ind w:left="560"/>
              <w:spacing w:after="0" w:line="155"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680"/>
              <w:spacing w:after="0" w:line="155" w:lineRule="exact"/>
              <w:rPr>
                <w:sz w:val="20"/>
                <w:szCs w:val="20"/>
                <w:color w:val="auto"/>
              </w:rPr>
            </w:pPr>
            <w:r>
              <w:rPr>
                <w:rFonts w:ascii="Arial" w:cs="Arial" w:eastAsia="Arial" w:hAnsi="Arial"/>
                <w:sz w:val="14"/>
                <w:szCs w:val="14"/>
                <w:color w:val="auto"/>
              </w:rPr>
              <w:t>242.3</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274.6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13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Net cash paid during the year for:</w:t>
            </w:r>
          </w:p>
        </w:tc>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Interest</w:t>
            </w:r>
          </w:p>
        </w:tc>
        <w:tc>
          <w:tcPr>
            <w:tcW w:w="1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31.5</w:t>
            </w:r>
          </w:p>
        </w:tc>
        <w:tc>
          <w:tcPr>
            <w:tcW w:w="7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31.1</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49"/>
        </w:trPr>
        <w:tc>
          <w:tcPr>
            <w:tcW w:w="6580" w:type="dxa"/>
            <w:vAlign w:val="bottom"/>
          </w:tcPr>
          <w:p>
            <w:pPr>
              <w:ind w:left="880"/>
              <w:spacing w:after="0" w:line="149" w:lineRule="exact"/>
              <w:rPr>
                <w:sz w:val="20"/>
                <w:szCs w:val="20"/>
                <w:color w:val="auto"/>
              </w:rPr>
            </w:pPr>
            <w:r>
              <w:rPr>
                <w:rFonts w:ascii="Arial" w:cs="Arial" w:eastAsia="Arial" w:hAnsi="Arial"/>
                <w:sz w:val="14"/>
                <w:szCs w:val="14"/>
                <w:color w:val="auto"/>
              </w:rPr>
              <w:t>Income taxes</w:t>
            </w:r>
          </w:p>
        </w:tc>
        <w:tc>
          <w:tcPr>
            <w:tcW w:w="13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50.6</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83.0</w:t>
            </w: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transactions during the year for:</w:t>
            </w:r>
          </w:p>
        </w:tc>
        <w:tc>
          <w:tcPr>
            <w:tcW w:w="13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ind w:left="440"/>
              <w:spacing w:after="0" w:line="149" w:lineRule="exact"/>
              <w:rPr>
                <w:sz w:val="20"/>
                <w:szCs w:val="20"/>
                <w:color w:val="auto"/>
              </w:rPr>
            </w:pPr>
            <w:r>
              <w:rPr>
                <w:rFonts w:ascii="Arial" w:cs="Arial" w:eastAsia="Arial" w:hAnsi="Arial"/>
                <w:sz w:val="14"/>
                <w:szCs w:val="14"/>
                <w:color w:val="auto"/>
              </w:rPr>
              <w:t>Investments in limited partnerships and capital obligations incurred</w:t>
            </w:r>
          </w:p>
        </w:tc>
        <w:tc>
          <w:tcPr>
            <w:tcW w:w="1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6.3</w:t>
            </w:r>
          </w:p>
        </w:tc>
        <w:tc>
          <w:tcPr>
            <w:tcW w:w="7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38.3</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Fixed maturities exchanges</w:t>
            </w:r>
          </w:p>
        </w:tc>
        <w:tc>
          <w:tcPr>
            <w:tcW w:w="13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111.8</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255.4</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125.9</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Symetra Financial Corporation is a Delaware corporation that, through its subsidiaries, offers products and services that include retirement, group insurance products and life insurance products, marketed through benefits consultants, financial institutions and independent agents and advisors in all states and the District of Columbia. The Company’s principal products include medical stop-loss insurance, fixed and variable deferred annuities, single premium immediate annuities, structured settlement annuities, individual life insurance and bank-owned life insurance (BOLI). The accompanying financial statements include, on a consolidated basis, the accounts of Symetra Financial Corporation and its subsidiaries, which are wholly-owned and are collectively referred to as “Symetra” or “the Company.”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and Preferred Stock</w:t>
      </w:r>
    </w:p>
    <w:p>
      <w:pPr>
        <w:spacing w:after="0" w:line="90"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On January 27, 2010, the Company completed the initial public offering (IPO) of its common stock. The IPO included 25.260 newly issued shares of common stock sold by the Company and 9.700 existing shares of common stock sold by selling stockholders. The Company received net proceeds from the offering of approximately $282.5. The Company did not receive any proceeds from the sale of shares by the selling stockholders.</w:t>
      </w:r>
    </w:p>
    <w:p>
      <w:pPr>
        <w:spacing w:after="0" w:line="10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Company has 750.000 authorized shares of common stock, $0.01 par value per share, and 10.000 authorized shares of preferred stock, $0.01 par value per share. The Company’s board of directors has the authority to designate the preferred stock into series and to designate the voting powers, preferences and other rights of the shares of each series without further stockholder approval, as limited by New York Stock Exchange and other regulatory rules. The Company also has warrants outstanding as of December 31, 2012, which are recorded in stockholders’ equity. The warrants are exercisable at any time until August 2, 2014, to acquire 18.976 shares of common stock at an exercise price of $11.49 per share and can be net-share settled at the option of the warrant holder.</w:t>
      </w:r>
    </w:p>
    <w:p>
      <w:pPr>
        <w:spacing w:after="0" w:line="10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February 1, 2013, the board of directors authorized the repurchase, at management’s discretion, of up to 10.000 shares of the Company’s outstanding common stock. The timing and amount of any stock repurchases will be determined by management based upon market conditions, regulatory considerations and other factors. No time limit was placed on the duration of the program, which may be modified, extended or terminated by the board of directors at any time. Repurchases may be effected in the open market, accelerated repurchase arrangements, privately negotiated transactions, or otherwise.</w:t>
      </w:r>
    </w:p>
    <w:p>
      <w:pPr>
        <w:spacing w:after="0" w:line="188" w:lineRule="exact"/>
        <w:rPr>
          <w:sz w:val="20"/>
          <w:szCs w:val="20"/>
          <w:color w:val="auto"/>
        </w:rPr>
      </w:pPr>
    </w:p>
    <w:p>
      <w:pPr>
        <w:ind w:left="240" w:right="7940" w:hanging="232"/>
        <w:spacing w:after="0" w:line="417" w:lineRule="auto"/>
        <w:tabs>
          <w:tab w:leader="none" w:pos="187" w:val="left"/>
        </w:tabs>
        <w:numPr>
          <w:ilvl w:val="0"/>
          <w:numId w:val="7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b w:val="1"/>
          <w:bCs w:val="1"/>
          <w:i w:val="1"/>
          <w:iCs w:val="1"/>
          <w:color w:val="auto"/>
        </w:rPr>
        <w:t>Basis of Presentation and Use of Estimates</w:t>
      </w:r>
    </w:p>
    <w:p>
      <w:pPr>
        <w:spacing w:after="0" w:line="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consolidated financial statements have been prepared in conformity with U.S. generally accepted accounting principles (GAAP), including the rules and regulations of the Securities and Exchange Commission (SEC). The preparation of financial statements in conformity with GAAP requires the Company to make estimates and assumptions that may affect the amounts reported in the consolidated financial statements. All significant intercompany transactions and balances have been eliminated.</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most significant estimates include those used to determine the following: valuation of investments carried at fair value; the identification and measurement of other-than-temporary impairments (OTTI) of investments; the balance, recoverability and amortization of deferred policy acquisition costs (DAC) and deferred sales inducements (DSI); and the liabilities for funds held under deposit contracts, future policy benefits, and policy and contract claims. The recorded amounts reflect management’s best estimates, though actual results could differ from those estimates.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performs an ongoing qualitative assessment of its involvement with variable interest entities (VIEs). A VIE is an entity that does not have sufficient equity to finance its own activities without additional financial support, or where investors lack certain characteristics of a controlling financial interest. The Company assesses its contractual, ownership or other interests in a VIE to determine whether it has a variable interest in the entity, and if so, to determine whether the Company has a controlling financial interest and would therefore be considered the primary beneficiary of the VIE. If it is determined the Company is the primary beneficiary of a VIE, the Company includes the assets and liabilities of the VIE in the consolidated financial statements.</w:t>
      </w:r>
    </w:p>
    <w:p>
      <w:pPr>
        <w:spacing w:after="0" w:line="11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Certain reclassifications have been made to prior year financial information for it to conform to the current period presentation. In addition, prior period financial information, including information for the years ended December 31, 2011 and 2010 and as of December 31, 2011 has been restated to reflect the retrospective adoption of the new accounting standard for DAC. More information on the restatement can be found in the “Adoption of New Accounting Pronouncements” section below and in Note 20. Restated information has been labeled “as adjusted” where applicable.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Recognition of Insurance Revenue and Related Benefits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Company’s group insurance policies, which include medical stop-loss, limited benefit medical, group life and short-term disability, are short duration contracts. Premiums from these products are recognized as revenue when earned over the life of the policy and a liability for the portion of premiums unearned is reported on the consolidated balance sheets. Benefit claims are charged to operations as incurred.</w:t>
      </w:r>
    </w:p>
    <w:p>
      <w:pPr>
        <w:spacing w:after="0" w:line="14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Traditional individual life insurance products, including term and whole life insurance products, are long-duration contracts, and the associated premiums and benefits are fixed and guaranteed. Premiums from these products are considered earned and recognized as revenue when due. As premiums are earned, the Company establishes a reserve for future policy benefits associated with those premiums, resulting in the recognition of profits over the life of the policy.</w:t>
      </w:r>
    </w:p>
    <w:p>
      <w:pPr>
        <w:spacing w:after="0" w:line="107"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Deposits related to universal life (UL) insurance, including BOLI and single-premium life (SPL) insurance, and investment-type products, including fixed annuities, are credited to policyholder account balances and reflected as liabilities, rather than as premium income, when received. Revenues from these contracts consist of net investment income on the policyholders’ fund balances, and amounts assessed during the period for cost of insurance, policy administration, and surrender charges. The Company includes such amounts in policy fees, contract charges, and other in the consolidated statements of income. Expenses that are charged to operations for these products include interest credited and benefit claims incurred in excess of related policyholder account balances.</w:t>
      </w:r>
    </w:p>
    <w:p>
      <w:pPr>
        <w:spacing w:after="0" w:line="10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Fees for variable annuity and variable life products include mortality and expense charges, policy administration charges and surrender charges. These fees are charged to policyholders’ accounts based upon the daily net assets of the policyholders’ account values, and are recognized in policy fees, contract charges, and other on the consolidated statements of income when charged.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Available-for-Sale Securities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classifies its investments in fixed maturities and certain marketable equity securities as available-for-sale and carries them at fair value. Fixed maturities primarily include bonds, mortgage-backed securities and redeemable preferred stock. Marketable equity securities classified as available-for-sale primarily include nonredeemable preferred stock. See Note 6 for information on the valuation of securities and additional disclosures regarding fair value measurements.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the normal course of business the Company makes passive investments in structured securities issued by VIEs. These structured securities primarily include residential and commercial mortgage-backed securities. Because the Company lacks the ability to direct the activities that most significantly impact the economic performance of the VIEs, it is not considered the primary beneficiary and therefore does not consolidate them. The Company’s maximum exposure to loss with respect to these investments is limited to the amortized cost of the Company’s investment, which is $4,708.1 and $5,534.2 as of December 31, 2012 and 2011, respectively.</w:t>
      </w:r>
    </w:p>
    <w:p>
      <w:pPr>
        <w:spacing w:after="0" w:line="14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Company reports net unrealized investment gains (losses) related to its available-for-sale securities in accumulated other comprehensive income (AOCI) in stockholders’ equity, net of related DAC, DSI and deferred income taxes. The cost of securities sold is determined using the specific-identification method.</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reports interest and dividends earned, including prepayment fees or interest-related make whole payments in net investment income. Interest income for fixed maturities is recognized using the effective yield method. When the collectability of interest income for fixed maturities is considered doubtful, any accrued but uncollectible interest is deducted from investment income in the current period. The Company then places the securities on nonaccrual status, and they are not restored to accrual status until all delinquent interest and principal are paid. For mortgage-backed securities, the Company recognizes income using a constant effective yield based on anticipated prepayments and the estimated economic life of the securities. Quarterly, the Company compares actual prepayments to anticipated prepayments and recalculates the effective yield to reflect actual payments plus anticipated future payments. The Company includes any resulting adjustment in net investment income in the current period.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Trading Securities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is invested in common stock, including real estate investment trusts (REITs), and mutual funds that are classified as trading. The Company also has a portfolio of common stock for which it has elected fair value accounting. Changes in the fair value of the Company’s trading portfolio are recorded in net realized investment gains (losses) in the consolidated statements of income. The Company believes this presents its investment results for these securities on a basis that is consistent with management’s operating principles. Dividends earned on trading securities are reported in net investment income.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Other-Than-Temporary Impairments</w:t>
      </w:r>
    </w:p>
    <w:p>
      <w:pPr>
        <w:spacing w:after="0" w:line="9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An impairment is recorded on an available-for-sale security when a decline in fair value below a security’s amortized cost is judged to be other-than-temporary. The Company’s review of investment securities includes both quantitative and qualitative criteria. See Note 4 for additional discussion about the Company’s process for identifying and recording OTTI.</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Mortgage Loans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Company carries its mortgage loans at outstanding principal balances, adjusted for unamortized deferred fees and costs, net of an allowance for loan losses. Loan origination fees and costs are deferred and amortized over the life of the loan. Interest income, including amortization of deferred fees and expenses, is recorded in net investment income. See Note 5 for discussion of the Company’s allowance for loan losses.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Policy Loans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Policy loans are carried at unpaid principal balances. Policy loans are secured and are not granted for amounts in excess of the accumulated cash surrender value of the policy or contract.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Investments in Limited Partnerships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invests in limited partnerships that operate affordable housing projects, state tax credit funds and other types of assets that provide tax benefits (collectively, “tax credit investments”). These investments are accounted for under the equity method and recorded at amortized cost, with amortization recorded as a reduction to net investment income. When the carrying value of an investment exceeds the amount of remaining tax benefits, the Company records an impairment loss, which is included in other net realized investment gains (losses) on the consolidated statements of income. The present value of any unfunded commitments related to these investments is recorded in other liabilities.</w:t>
      </w:r>
    </w:p>
    <w:p>
      <w:pPr>
        <w:spacing w:after="0" w:line="1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Investments in limited partnerships also include investments in private equity funds recorded at fair value. The impact of changes in the fair value of private equity funds is recorded in net investment income.</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limited partnerships that the Company invests in meet the definition of a VIE. Because the Company, as a limited partner, lacks the ability to direct the activities of any of these partnerships, it is not considered the primary beneficiary and therefore has not consolidated them. The maximum exposure to loss in these VIEs was $261.8 and $250.1 as of December 31, 2012 and 2011, respectively. The maximum exposure to loss includes commitments to provide future capital contributions as described in Note 14.</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uses derivative financial instruments to hedge certain portions of its exposure to equity market risk, interest rate risk and foreign currency exchange risk. Derivative financial instruments currently held consist primarily of S&amp;P 500 index options, interest rate swaps, foreign currency swaps and foreign currency forwards. Derivatives instruments may be exchange-traded or contracted in over-the-counter (“OTC”) market. All of the Company’s derivative financial instruments are recognized as either assets within other invested assets or liabilities within other liabilities on the consolidated balance sheets at fair value. The Company also issues fixed indexed annuity contracts that contain embedded derivative instruments that are recorded at fair value with the associated host contract in funds held under deposit contracts on the consolidated balances sheets. The Company does not offset the fair value amounts recognized for derivatives executed with the same counterparty under the same master netting agreement.</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accounting for changes in the fair value of derivative instruments depends on whether it has been designated and qualifies for hedge accounting. If a derivative instrument does not qualify, or is not designated for hedge accounting, the changes in its fair value are recorded in the consolidated statements of income within net realized investment gains (losses).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qualify for hedge accounting treatment, a derivative must be highly effective in mitigating the designated risk of the hedged item. Effectiveness of the hedge is formally assessed at inception and throughout the life of the hedging relationship. When a derivative is designed as a cash flow hedge and is determined to be highly effective, changes in its fair value are recorded as a component of OCI. Even if a derivative qualifies for hedge accounting treatment, there may be an element of ineffectiveness in the hedge. Any hedge ineffectiveness is recorded in the consolidated statements of income within net realized investment gains (losses).</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Company prospectively discontinues hedge accounting when: (1) the criteria to qualify for hedge accounting is no longer met (e.g., the derivative is no longer highly effective in offsetting the change in cash flows of a hedged item); (2) the derivative expires, is sold, terminated or exercised; or (3) the derivative is de-designated as a hedging instrument.</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If it is determined that a derivative no longer qualifies as an effective hedge, the derivative continues to be carried in the consolidated balance sheets at its fair value, with changes in fair value recognized prospectively in income. See Note 4 for further discussion of the Company’s derivative instruments.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Cash and cash equivalents consist of demand bank deposits and short-term highly liquid investments with maturities of three months or less at the time of purchase. Cash equivalents are reported at cost, which approximates fair value.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Reinsurance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utilizes reinsurance agreements to manage its exposure to potential losses. The Company reinsures all or a portion of its risk to reinsurers for certain types of directly written business. In addition, the Company reinsures through pools to cover catastrophic losses. The Company remains liable to its policyholders to the extent that counterparties to reinsurance contracts do not meet their contractual obligations. Accordingly, the future policy benefit reserves and policy and contract claims liabilities are reported gross of any related reinsurance recoverables, which are reported as assets. The Company reports premiums, benefits, and settlement expenses, net of reinsurance, on the consolidated statements of income. The Company accounts for reinsurance premiums, commissions, expense reimbursements, benefits and reserves related to reinsured business on bases consistent with those used in accounting for the original policies issued and the terms of the reinsurance contracts.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Policy Acquisition Costs</w:t>
      </w:r>
    </w:p>
    <w:p>
      <w:pPr>
        <w:spacing w:after="0" w:line="90"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On January 1, 2012, the Company retrospectively adopted a new accounting standard related to the deferral of policy acquisition costs. While DAC amortization has been restated to reflect the retrospective reduction in costs deferred, the Company’s policies and methodology for amortization have not changed.</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defers costs that are directly related to the successful acquisition of new or the renewal of insurance contracts. These primarily include commissions, distribution costs directly related to production, third-party underwriting costs and the portion of salaries and benefits related to employee time spent on processing successful new and renewal contracts. All other acquisition-related costs, including costs incurred for soliciting potential customers, managing distribution and underwriting functions, training, administration, unsuccessful acquisition or renewal efforts, market research and product development are not deferrable and are expensed in the period incurred.</w:t>
      </w:r>
    </w:p>
    <w:p>
      <w:pPr>
        <w:spacing w:after="0" w:line="14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Company amortizes acquisition costs for deferred annuity contracts and universal life insurance policies over the lives of the contracts or policies in proportion to the estimated future gross profits. The Company makes assumptions as to surrender rates, mortality experience, maintenance expenses, and investment performance. Actual profits can vary from the estimates and can thereby result in increases or decreases to DAC amortization rates. The Company regularly evaluates its assumptions and, when necessary, revises the estimated gross profits of these contracts, resulting in adjustments to DAC amortization. When such estimates are revised, the impact is recorded in the consolidated statements of income.</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amortizes acquisition costs for traditional individual life insurance policies over the premium paying period of the related policies, using assumptions consistent with those used in computing policy benefit liabilities. The Company amortizes acquisition costs for immediate annuities using a constant yield approach.</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conducts regular recoverability analyses for DAC asset balances associated with deferred and immediate annuity contracts, universal life contracts, and traditional life contracts. The Company compares the current DAC asset balances with the estimated present value of future profitability of the underlying business. The DAC asset balances are considered recoverable if the present value of future profits is greater than the current DAC asset balance. As of December 31, 2012 and 2011, all of the DAC asset balances were considered recoverable.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Company adjusts the unamortized balance of DAC for the impact on estimated future gross profits as if net unrealized investment gains and losses on securities had been realized as of the balance sheet date. The Company includes the impact of this adjustment, net of tax, in AOCI.</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some products, policyholders can elect to modify product benefits, features, rights or coverage by exchanging a contract for a new contract; by amendment, endorsement or rider to a contract; or by election of a feature or coverage within a contract. These transactions are known as internal replacements. If the modification substantially changes the original contract, the DAC is immediately written off through earnings and any eligible costs associated with the replacement contract are deferred. If the modification does not substantially change the contract, the DAC is retained and amortized over the life of the modified contract and any acquisition costs associated with the related modification are expensed.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Sales Inducements</w:t>
      </w:r>
    </w:p>
    <w:p>
      <w:pPr>
        <w:spacing w:after="0" w:line="9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The Company offers sales inducements on certain deferred annuity contracts and universal life policies. For certain deferred annuity contracts, the inducement interest entitles the contract holder to an incremental amount of interest to be credited to the account value over a 12- to 60-month period following the initial deposit, depending on the product. The incremental interest causes the initial credited rate to be higher than the contract’s expected ongoing crediting rates for periods after the inducement. For certain universal life policies, the inducement provides an immediate increment to the policyholder’s account value at the issue date or time of deposit. Deferred sales inducements are reported as other assets and amortized into interest credited using the same methodology and assumptions used to amortize DAC. Deferred sales inducement balances are subject to regular recoverability testing to ensure that capitalized amounts do not exceed the present value of estimated gross profits. As of December 31, 2012 and 2011, all of the deferred sales inducement balances were considered recoverable.</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Intangible Assets and Goodwill</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Intangible assets, net of accumulated amortization, and goodwill are reported as other assets on the consolidated balance sheets. Intangible assets are reviewed at least annually for indicators of impairment and are tested for impairment when events or circumstances indicate the carrying amount may not be recoverable. Goodwill is not amortized but is tested for impairment at least annually. No impairment was recorded for goodwill or intangible assets for the years ended December 31, 2012, 2011 or 2010.</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July 1, 2011, the Company entered into an indemnity reinsurance agreement and acquired the renewal rights for medical stop-loss insurance policies issued by American United Life Insurance Company (AUL) for $26.0 and received $34.7, in cash, representing the value of the assumed net liabilities. Intangible assets acquired totaled $26.0 and are to be amortized over a weighted-average life of 7.7 years. This transaction expanded the customer and broker base for the medical stop-loss insurance in the Benefits segment.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Certain operating leases of the Company provide for minimum annual payments that change over the life of the lease. The aggregate minimum annual payments are expensed on the straight-line basis over the lease term. Rent holidays, rent incentives, and tenant improvement allowances are amortized on the straight-line basis over the initial term of the lease and any renewal option period that is reasonably assured.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Separate Account Assets and Liabilities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Separate account assets are reported at fair value and represent funds that are invested on behalf of the Company’s variable annuity, life, and universal life policyholders. The assets of each separate account are legally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segregated and are not subject to claims that arise out of the Company’s other business activities. Investment risks associated with market value changes are borne by the policyholder, except to the extent of guaranteed minimum death benefits (GMDB) made by the Company with respect to certain accounts. Net investment income and realized investment gains and losses accrue directly to the policyholders and are not included in the Company’s revenues. Separate account liabilities primarily represent the policyholder’s account balance in the separate account. Fees charged to policyholders include mortality, policy administration, and surrender charges and are included in policy fees, contract charges, and other on the consolidated statements of income.</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variable annuity contracts with GMDB, the Company contractually guarantees total deposits, less any partial withdrawals, in the event of death. The Company reinsures nearly all of the GMDB risk on its variable annuity contracts.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Funds Held Under Deposit Contracts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Liabilities for fixed annuity contracts, and universal life policies, including BOLI, are computed as deposits net of withdrawals made by the policyholder, plus amounts credited based on contract specifications, less contract fees and charges assessed.</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single premium immediate annuities (SPIAs), including structured settlements, liabilities are based on discounted amounts of estimated future benefits. Future benefits are either fully guaranteed or are contingent on the survivorship of the annuitant. Contingent future benefits are discounted with pricing mortality assumptions, which include provisions for longer life spans over time. The interest rate pattern used to calculate the reserves for SPIAs is set at issue. The interest rates within the pattern vary over time and start with interest rates that prevailed at contract issue. As of December 31, 2012, the weighted-average implied interest rate on the existing book of business was 5.75% and is expected to grade to 6.39% during the next 20 years.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Policy Benefits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estimates liabilities for future policy benefits under traditional individual life and group life and long-term disability insurance policies using the level premium method, which includes a level premium assumption to fund reserves. The Company selects the level premiums so that the actuarial present value of future benefits equals the actuarial present value of future premiums. The Company sets the interest, mortality, and persistency assumptions in the year of issue and includes a provision for adverse deviation. The provision for adverse deviation is intended to provide coverage for the risk that actual experience may be worse than locked-in best-estimate assumptions. These liabilities are contingent upon the death of the insured while the policy is in force. The Company derives mortality assumptions from both company-specific and industry statistics. The Company discounts future benefits at interest rates that vary by year of policy issue. These rates are initially set to be consistent with portfolio rates at the time of issue, and are graded to a lower rate, such as the statutory valuation interest rate, over time. Assumptions are set at the time each product is introduced and are not updated for actual experience unless the total product liability amount is determined to be inadequate to cover future policy benefits.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Policy and Contract Claims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Liabilities for policy and contract claims primarily represent liabilities for claims under group medical stop-loss and limited benefit medical insurance policies and are established on the basis of reported losses (case basis method). The Company also provides for claims incurred but not reported (IBNR), based on expected loss ratios, claims paying completion patterns and historical experience. The Company reviews estimates for reported but unpaid claims and IBNR quarterly. Any necessary adjustments are reflected in earnings. If expected loss ratios increase or expected claims paying completion patterns extend, the IBNR claim liability increases.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Company accounts for stock-based compensation based on the grant-date fair value of the awards. Compensation expense for these awards is recognized over the requisite service period, using the straight-line method. See Note 9 for further discussion.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Income taxes have been determined using the liability method. The provision for income taxes has two components: amounts currently payable or receivable and deferred income taxes. The deferred income taxes are calculated as the difference between the book and tax bases of the appropriate assets and liabilities and are measured using enacted tax rates. Deferred tax assets are recognized only to the extent that it is more likely than not that future taxable profits will be available. A valuation allowance is established where deferred tax assets cannot be recognized. See Note 13 for further discussion.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ASU 2010-26, Accounting for Costs Associated with Acquiring or Renewing Insurance Contracts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In October 2010, the FASB issued Accounting Standards Update (ASU) 2010-26, </w:t>
      </w:r>
      <w:r>
        <w:rPr>
          <w:rFonts w:ascii="Arial" w:cs="Arial" w:eastAsia="Arial" w:hAnsi="Arial"/>
          <w:sz w:val="16"/>
          <w:szCs w:val="16"/>
          <w:i w:val="1"/>
          <w:iCs w:val="1"/>
          <w:color w:val="auto"/>
        </w:rPr>
        <w:t>Financial Services — Insurance (Topic 944) — Accounting for Costs</w:t>
      </w:r>
      <w:r>
        <w:rPr>
          <w:rFonts w:ascii="Arial" w:cs="Arial" w:eastAsia="Arial" w:hAnsi="Arial"/>
          <w:sz w:val="16"/>
          <w:szCs w:val="16"/>
          <w:color w:val="auto"/>
        </w:rPr>
        <w:t xml:space="preserve"> </w:t>
      </w:r>
      <w:r>
        <w:rPr>
          <w:rFonts w:ascii="Arial" w:cs="Arial" w:eastAsia="Arial" w:hAnsi="Arial"/>
          <w:sz w:val="16"/>
          <w:szCs w:val="16"/>
          <w:i w:val="1"/>
          <w:iCs w:val="1"/>
          <w:color w:val="auto"/>
        </w:rPr>
        <w:t>Associated with Acquiring or Renewing Insurance Contracts</w:t>
      </w:r>
      <w:r>
        <w:rPr>
          <w:rFonts w:ascii="Arial" w:cs="Arial" w:eastAsia="Arial" w:hAnsi="Arial"/>
          <w:sz w:val="16"/>
          <w:szCs w:val="16"/>
          <w:color w:val="auto"/>
        </w:rPr>
        <w:t>. This ASU limits the amount of deferrable acquisition costs to those directly related to the successful</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of an insurance contract and clarifies which costs are included in that definition. The Company’s adoption of this standard results in more distribution and new business processing and underwriting costs being expensed as incurred.</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the new standard, the Company defers costs that are directly related to the successful acquisition of new or the renewal of insurance contracts. These costs primarily include commissions, premium taxes and premium based assessments, the portion of wholesaler distribution costs directly related to contract acquisition, third-party underwriting costs related to contracts that are successfully acquired, and a portion of the salaries and benefits related to employee time spent on the processing of successfully acquired new or renewal contracts. While the Company has restated DAC amortization to reflect the retrospective reduction in costs deferred, its policies and methodology for amortization have not changed.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retrospectively adopted this standard on January 1, 2012. The Company believes retrospective adoption provides users the most useful financial information because it is comparable between financial periods. The Company has restated its financial information as of December 31, 2011 and for the years ended December 31, 2011 and 2010 in these financial statements, as shown below:</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policy acquisition costs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income tax liabilities,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Retained earnings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income, net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net realized investment gains (losses)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underwriting and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Amortization of deferred policy acquisition costs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ind w:left="660" w:hanging="215"/>
        <w:spacing w:after="0" w:line="261" w:lineRule="auto"/>
        <w:rPr>
          <w:sz w:val="20"/>
          <w:szCs w:val="20"/>
          <w:color w:val="auto"/>
        </w:rPr>
      </w:pPr>
      <w:r>
        <w:rPr>
          <w:rFonts w:ascii="Arial" w:cs="Arial" w:eastAsia="Arial" w:hAnsi="Arial"/>
          <w:sz w:val="18"/>
          <w:szCs w:val="18"/>
          <w:color w:val="auto"/>
        </w:rPr>
        <w:t>Impact of net unrealized investment (gains) losses on deferred policy acquisition costs and deferred sales inducements, net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246620" cy="274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Changes in deferred policy acquisition costs, net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net realized investment gains (losses)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underwriting and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Amortization of deferred policy acquisition costs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ind w:left="660" w:hanging="215"/>
        <w:spacing w:after="0" w:line="261" w:lineRule="auto"/>
        <w:rPr>
          <w:sz w:val="20"/>
          <w:szCs w:val="20"/>
          <w:color w:val="auto"/>
        </w:rPr>
      </w:pPr>
      <w:r>
        <w:rPr>
          <w:rFonts w:ascii="Arial" w:cs="Arial" w:eastAsia="Arial" w:hAnsi="Arial"/>
          <w:sz w:val="18"/>
          <w:szCs w:val="18"/>
          <w:color w:val="auto"/>
        </w:rPr>
        <w:t>Impact of net unrealized investment (gains) losses on deferred policy acquisition costs and deferred sales inducements, net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246620" cy="274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Changes in deferred policy acquisition costs, net</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jc w:val="center"/>
              <w:ind w:right="212"/>
              <w:spacing w:after="0"/>
              <w:rPr>
                <w:sz w:val="20"/>
                <w:szCs w:val="20"/>
                <w:color w:val="auto"/>
              </w:rPr>
            </w:pPr>
            <w:r>
              <w:rPr>
                <w:rFonts w:ascii="Arial" w:cs="Arial" w:eastAsia="Arial" w:hAnsi="Arial"/>
                <w:sz w:val="14"/>
                <w:szCs w:val="14"/>
                <w:b w:val="1"/>
                <w:bCs w:val="1"/>
                <w:color w:val="auto"/>
                <w:w w:val="86"/>
              </w:rPr>
              <w:t>As Previously</w:t>
            </w:r>
          </w:p>
        </w:tc>
        <w:tc>
          <w:tcPr>
            <w:tcW w:w="20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1"/>
        </w:trPr>
        <w:tc>
          <w:tcPr>
            <w:tcW w:w="108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w w:val="87"/>
              </w:rPr>
              <w:t>Reported</w:t>
            </w:r>
          </w:p>
        </w:tc>
        <w:tc>
          <w:tcPr>
            <w:tcW w:w="20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Adjustment</w:t>
            </w:r>
          </w:p>
        </w:tc>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w w:val="85"/>
              </w:rPr>
              <w:t>As Adjusted</w:t>
            </w:r>
          </w:p>
        </w:tc>
      </w:tr>
      <w:tr>
        <w:trPr>
          <w:trHeight w:val="142"/>
        </w:trPr>
        <w:tc>
          <w:tcPr>
            <w:tcW w:w="10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As of December 31, 2011</w:t>
            </w:r>
          </w:p>
        </w:tc>
        <w:tc>
          <w:tcPr>
            <w:tcW w:w="1040" w:type="dxa"/>
            <w:vAlign w:val="bottom"/>
            <w:tcBorders>
              <w:bottom w:val="single" w:sz="8" w:color="auto"/>
            </w:tcBorders>
          </w:tcPr>
          <w:p>
            <w:pPr>
              <w:spacing w:after="0"/>
              <w:rPr>
                <w:sz w:val="12"/>
                <w:szCs w:val="1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215.4</w:t>
            </w:r>
          </w:p>
        </w:tc>
        <w:tc>
          <w:tcPr>
            <w:tcW w:w="100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72"/>
              <w:spacing w:after="0"/>
              <w:rPr>
                <w:sz w:val="20"/>
                <w:szCs w:val="20"/>
                <w:color w:val="auto"/>
              </w:rPr>
            </w:pPr>
            <w:r>
              <w:rPr>
                <w:rFonts w:ascii="Arial" w:cs="Arial" w:eastAsia="Arial" w:hAnsi="Arial"/>
                <w:sz w:val="18"/>
                <w:szCs w:val="18"/>
                <w:color w:val="auto"/>
              </w:rPr>
              <w:t>(29.4)</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186.0</w:t>
            </w:r>
          </w:p>
        </w:tc>
      </w:tr>
      <w:tr>
        <w:trPr>
          <w:trHeight w:val="216"/>
        </w:trPr>
        <w:tc>
          <w:tcPr>
            <w:tcW w:w="1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405.3</w:t>
            </w:r>
          </w:p>
        </w:tc>
        <w:tc>
          <w:tcPr>
            <w:tcW w:w="1000" w:type="dxa"/>
            <w:vAlign w:val="bottom"/>
          </w:tcPr>
          <w:p>
            <w:pPr>
              <w:spacing w:after="0"/>
              <w:rPr>
                <w:sz w:val="18"/>
                <w:szCs w:val="18"/>
                <w:color w:val="auto"/>
              </w:rPr>
            </w:pPr>
          </w:p>
        </w:tc>
        <w:tc>
          <w:tcPr>
            <w:tcW w:w="1340" w:type="dxa"/>
            <w:vAlign w:val="bottom"/>
          </w:tcPr>
          <w:p>
            <w:pPr>
              <w:jc w:val="right"/>
              <w:ind w:right="572"/>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395.0</w:t>
            </w:r>
          </w:p>
        </w:tc>
      </w:tr>
      <w:tr>
        <w:trPr>
          <w:trHeight w:val="216"/>
        </w:trPr>
        <w:tc>
          <w:tcPr>
            <w:tcW w:w="1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664.7</w:t>
            </w:r>
          </w:p>
        </w:tc>
        <w:tc>
          <w:tcPr>
            <w:tcW w:w="1000" w:type="dxa"/>
            <w:vAlign w:val="bottom"/>
          </w:tcPr>
          <w:p>
            <w:pPr>
              <w:spacing w:after="0"/>
              <w:rPr>
                <w:sz w:val="18"/>
                <w:szCs w:val="18"/>
                <w:color w:val="auto"/>
              </w:rPr>
            </w:pPr>
          </w:p>
        </w:tc>
        <w:tc>
          <w:tcPr>
            <w:tcW w:w="1340" w:type="dxa"/>
            <w:vAlign w:val="bottom"/>
          </w:tcPr>
          <w:p>
            <w:pPr>
              <w:jc w:val="right"/>
              <w:ind w:right="572"/>
              <w:spacing w:after="0"/>
              <w:rPr>
                <w:sz w:val="20"/>
                <w:szCs w:val="20"/>
                <w:color w:val="auto"/>
              </w:rPr>
            </w:pPr>
            <w:r>
              <w:rPr>
                <w:rFonts w:ascii="Arial" w:cs="Arial" w:eastAsia="Arial" w:hAnsi="Arial"/>
                <w:sz w:val="18"/>
                <w:szCs w:val="18"/>
                <w:color w:val="auto"/>
              </w:rPr>
              <w:t>(32.9)</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631.8</w:t>
            </w:r>
          </w:p>
        </w:tc>
      </w:tr>
      <w:tr>
        <w:trPr>
          <w:trHeight w:val="222"/>
        </w:trPr>
        <w:tc>
          <w:tcPr>
            <w:tcW w:w="18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9"/>
              </w:rPr>
              <w:t>1,013.5</w:t>
            </w:r>
          </w:p>
        </w:tc>
        <w:tc>
          <w:tcPr>
            <w:tcW w:w="1000" w:type="dxa"/>
            <w:vAlign w:val="bottom"/>
          </w:tcPr>
          <w:p>
            <w:pPr>
              <w:spacing w:after="0"/>
              <w:rPr>
                <w:sz w:val="19"/>
                <w:szCs w:val="19"/>
                <w:color w:val="auto"/>
              </w:rPr>
            </w:pPr>
          </w:p>
        </w:tc>
        <w:tc>
          <w:tcPr>
            <w:tcW w:w="1340" w:type="dxa"/>
            <w:vAlign w:val="bottom"/>
          </w:tcPr>
          <w:p>
            <w:pPr>
              <w:jc w:val="right"/>
              <w:ind w:right="632"/>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1,027.3</w:t>
            </w:r>
          </w:p>
        </w:tc>
      </w:tr>
      <w:tr>
        <w:trPr>
          <w:trHeight w:val="367"/>
        </w:trPr>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For the Year Ended December 31, 2011</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04"/>
        </w:trPr>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21.1</w:t>
            </w:r>
          </w:p>
        </w:tc>
        <w:tc>
          <w:tcPr>
            <w:tcW w:w="100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632"/>
              <w:spacing w:after="0"/>
              <w:rPr>
                <w:sz w:val="20"/>
                <w:szCs w:val="20"/>
                <w:color w:val="auto"/>
              </w:rPr>
            </w:pPr>
            <w:r>
              <w:rPr>
                <w:rFonts w:ascii="Arial" w:cs="Arial" w:eastAsia="Arial" w:hAnsi="Arial"/>
                <w:sz w:val="18"/>
                <w:szCs w:val="18"/>
                <w:color w:val="auto"/>
              </w:rPr>
              <w:t>0.2</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r>
      <w:tr>
        <w:trPr>
          <w:trHeight w:val="216"/>
        </w:trPr>
        <w:tc>
          <w:tcPr>
            <w:tcW w:w="1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296.1</w:t>
            </w:r>
          </w:p>
        </w:tc>
        <w:tc>
          <w:tcPr>
            <w:tcW w:w="100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317.9</w:t>
            </w:r>
          </w:p>
        </w:tc>
      </w:tr>
      <w:tr>
        <w:trPr>
          <w:trHeight w:val="216"/>
        </w:trPr>
        <w:tc>
          <w:tcPr>
            <w:tcW w:w="1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84.6</w:t>
            </w:r>
          </w:p>
        </w:tc>
        <w:tc>
          <w:tcPr>
            <w:tcW w:w="1000" w:type="dxa"/>
            <w:vAlign w:val="bottom"/>
          </w:tcPr>
          <w:p>
            <w:pPr>
              <w:spacing w:after="0"/>
              <w:rPr>
                <w:sz w:val="18"/>
                <w:szCs w:val="18"/>
                <w:color w:val="auto"/>
              </w:rPr>
            </w:pPr>
          </w:p>
        </w:tc>
        <w:tc>
          <w:tcPr>
            <w:tcW w:w="1340" w:type="dxa"/>
            <w:vAlign w:val="bottom"/>
          </w:tcPr>
          <w:p>
            <w:pPr>
              <w:jc w:val="right"/>
              <w:ind w:right="572"/>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68.8</w:t>
            </w:r>
          </w:p>
        </w:tc>
      </w:tr>
      <w:tr>
        <w:trPr>
          <w:trHeight w:val="216"/>
        </w:trPr>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1000" w:type="dxa"/>
            <w:vAlign w:val="bottom"/>
          </w:tcPr>
          <w:p>
            <w:pPr>
              <w:spacing w:after="0"/>
              <w:rPr>
                <w:sz w:val="18"/>
                <w:szCs w:val="18"/>
                <w:color w:val="auto"/>
              </w:rPr>
            </w:pPr>
          </w:p>
        </w:tc>
        <w:tc>
          <w:tcPr>
            <w:tcW w:w="1340" w:type="dxa"/>
            <w:vAlign w:val="bottom"/>
          </w:tcPr>
          <w:p>
            <w:pPr>
              <w:jc w:val="right"/>
              <w:ind w:right="572"/>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r>
      <w:tr>
        <w:trPr>
          <w:trHeight w:val="222"/>
        </w:trPr>
        <w:tc>
          <w:tcPr>
            <w:tcW w:w="18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199.6</w:t>
            </w:r>
          </w:p>
        </w:tc>
        <w:tc>
          <w:tcPr>
            <w:tcW w:w="1000" w:type="dxa"/>
            <w:vAlign w:val="bottom"/>
          </w:tcPr>
          <w:p>
            <w:pPr>
              <w:spacing w:after="0"/>
              <w:rPr>
                <w:sz w:val="19"/>
                <w:szCs w:val="19"/>
                <w:color w:val="auto"/>
              </w:rPr>
            </w:pPr>
          </w:p>
        </w:tc>
        <w:tc>
          <w:tcPr>
            <w:tcW w:w="1340" w:type="dxa"/>
            <w:vAlign w:val="bottom"/>
          </w:tcPr>
          <w:p>
            <w:pPr>
              <w:jc w:val="right"/>
              <w:ind w:right="572"/>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195.8</w:t>
            </w:r>
          </w:p>
        </w:tc>
      </w:tr>
      <w:tr>
        <w:trPr>
          <w:trHeight w:val="426"/>
        </w:trPr>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100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72"/>
              <w:spacing w:after="0"/>
              <w:rPr>
                <w:sz w:val="20"/>
                <w:szCs w:val="20"/>
                <w:color w:val="auto"/>
              </w:rPr>
            </w:pPr>
            <w:r>
              <w:rPr>
                <w:rFonts w:ascii="Arial" w:cs="Arial" w:eastAsia="Arial" w:hAnsi="Arial"/>
                <w:sz w:val="18"/>
                <w:szCs w:val="18"/>
                <w:color w:val="auto"/>
              </w:rPr>
              <w:t>(0.03)</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22"/>
        </w:trPr>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100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72"/>
              <w:spacing w:after="0"/>
              <w:rPr>
                <w:sz w:val="20"/>
                <w:szCs w:val="20"/>
                <w:color w:val="auto"/>
              </w:rPr>
            </w:pPr>
            <w:r>
              <w:rPr>
                <w:rFonts w:ascii="Arial" w:cs="Arial" w:eastAsia="Arial" w:hAnsi="Arial"/>
                <w:sz w:val="18"/>
                <w:szCs w:val="18"/>
                <w:color w:val="auto"/>
              </w:rPr>
              <w:t>(0.03)</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756"/>
        </w:trPr>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(71.5)</w:t>
            </w:r>
          </w:p>
        </w:tc>
        <w:tc>
          <w:tcPr>
            <w:tcW w:w="100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632"/>
              <w:spacing w:after="0"/>
              <w:rPr>
                <w:sz w:val="20"/>
                <w:szCs w:val="20"/>
                <w:color w:val="auto"/>
              </w:rPr>
            </w:pPr>
            <w:r>
              <w:rPr>
                <w:rFonts w:ascii="Arial" w:cs="Arial" w:eastAsia="Arial" w:hAnsi="Arial"/>
                <w:sz w:val="18"/>
                <w:szCs w:val="18"/>
                <w:color w:val="auto"/>
              </w:rPr>
              <w:t>8.7</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(62.8)</w:t>
            </w:r>
          </w:p>
        </w:tc>
      </w:tr>
      <w:tr>
        <w:trPr>
          <w:trHeight w:val="534"/>
        </w:trPr>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100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72"/>
              <w:spacing w:after="0"/>
              <w:rPr>
                <w:sz w:val="20"/>
                <w:szCs w:val="20"/>
                <w:color w:val="auto"/>
              </w:rPr>
            </w:pPr>
            <w:r>
              <w:rPr>
                <w:rFonts w:ascii="Arial" w:cs="Arial" w:eastAsia="Arial" w:hAnsi="Arial"/>
                <w:sz w:val="18"/>
                <w:szCs w:val="18"/>
                <w:color w:val="auto"/>
              </w:rPr>
              <w:t>(2.0)</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r>
      <w:tr>
        <w:trPr>
          <w:trHeight w:val="222"/>
        </w:trPr>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w:t>
            </w:r>
          </w:p>
        </w:tc>
        <w:tc>
          <w:tcPr>
            <w:tcW w:w="1000" w:type="dxa"/>
            <w:vAlign w:val="bottom"/>
          </w:tcPr>
          <w:p>
            <w:pPr>
              <w:spacing w:after="0"/>
              <w:rPr>
                <w:sz w:val="19"/>
                <w:szCs w:val="19"/>
                <w:color w:val="auto"/>
              </w:rPr>
            </w:pPr>
          </w:p>
        </w:tc>
        <w:tc>
          <w:tcPr>
            <w:tcW w:w="1340" w:type="dxa"/>
            <w:vAlign w:val="bottom"/>
          </w:tcPr>
          <w:p>
            <w:pPr>
              <w:jc w:val="right"/>
              <w:ind w:right="632"/>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r>
      <w:tr>
        <w:trPr>
          <w:trHeight w:val="367"/>
        </w:trPr>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For the Year Ended December 31, 2010</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512"/>
        </w:trPr>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60.7</w:t>
            </w:r>
          </w:p>
        </w:tc>
        <w:tc>
          <w:tcPr>
            <w:tcW w:w="100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632"/>
              <w:spacing w:after="0"/>
              <w:rPr>
                <w:sz w:val="20"/>
                <w:szCs w:val="20"/>
                <w:color w:val="auto"/>
              </w:rPr>
            </w:pPr>
            <w:r>
              <w:rPr>
                <w:rFonts w:ascii="Arial" w:cs="Arial" w:eastAsia="Arial" w:hAnsi="Arial"/>
                <w:sz w:val="18"/>
                <w:szCs w:val="18"/>
                <w:color w:val="auto"/>
              </w:rPr>
              <w:t>0.3</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r>
      <w:tr>
        <w:trPr>
          <w:trHeight w:val="216"/>
        </w:trPr>
        <w:tc>
          <w:tcPr>
            <w:tcW w:w="1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256.7</w:t>
            </w:r>
          </w:p>
        </w:tc>
        <w:tc>
          <w:tcPr>
            <w:tcW w:w="100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279.9</w:t>
            </w:r>
          </w:p>
        </w:tc>
      </w:tr>
      <w:tr>
        <w:trPr>
          <w:trHeight w:val="216"/>
        </w:trPr>
        <w:tc>
          <w:tcPr>
            <w:tcW w:w="1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66.2</w:t>
            </w:r>
          </w:p>
        </w:tc>
        <w:tc>
          <w:tcPr>
            <w:tcW w:w="1000" w:type="dxa"/>
            <w:vAlign w:val="bottom"/>
          </w:tcPr>
          <w:p>
            <w:pPr>
              <w:spacing w:after="0"/>
              <w:rPr>
                <w:sz w:val="18"/>
                <w:szCs w:val="18"/>
                <w:color w:val="auto"/>
              </w:rPr>
            </w:pPr>
          </w:p>
        </w:tc>
        <w:tc>
          <w:tcPr>
            <w:tcW w:w="1340" w:type="dxa"/>
            <w:vAlign w:val="bottom"/>
          </w:tcPr>
          <w:p>
            <w:pPr>
              <w:jc w:val="right"/>
              <w:ind w:right="572"/>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r>
      <w:tr>
        <w:trPr>
          <w:trHeight w:val="216"/>
        </w:trPr>
        <w:tc>
          <w:tcPr>
            <w:tcW w:w="1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30.5</w:t>
            </w:r>
          </w:p>
        </w:tc>
        <w:tc>
          <w:tcPr>
            <w:tcW w:w="1000" w:type="dxa"/>
            <w:vAlign w:val="bottom"/>
          </w:tcPr>
          <w:p>
            <w:pPr>
              <w:spacing w:after="0"/>
              <w:rPr>
                <w:sz w:val="18"/>
                <w:szCs w:val="18"/>
                <w:color w:val="auto"/>
              </w:rPr>
            </w:pPr>
          </w:p>
        </w:tc>
        <w:tc>
          <w:tcPr>
            <w:tcW w:w="1340" w:type="dxa"/>
            <w:vAlign w:val="bottom"/>
          </w:tcPr>
          <w:p>
            <w:pPr>
              <w:jc w:val="right"/>
              <w:ind w:right="572"/>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r>
      <w:tr>
        <w:trPr>
          <w:trHeight w:val="222"/>
        </w:trPr>
        <w:tc>
          <w:tcPr>
            <w:tcW w:w="18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200.9</w:t>
            </w:r>
          </w:p>
        </w:tc>
        <w:tc>
          <w:tcPr>
            <w:tcW w:w="1000" w:type="dxa"/>
            <w:vAlign w:val="bottom"/>
          </w:tcPr>
          <w:p>
            <w:pPr>
              <w:spacing w:after="0"/>
              <w:rPr>
                <w:sz w:val="19"/>
                <w:szCs w:val="19"/>
                <w:color w:val="auto"/>
              </w:rPr>
            </w:pPr>
          </w:p>
        </w:tc>
        <w:tc>
          <w:tcPr>
            <w:tcW w:w="1340" w:type="dxa"/>
            <w:vAlign w:val="bottom"/>
          </w:tcPr>
          <w:p>
            <w:pPr>
              <w:jc w:val="right"/>
              <w:ind w:right="572"/>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193.8</w:t>
            </w:r>
          </w:p>
        </w:tc>
      </w:tr>
      <w:tr>
        <w:trPr>
          <w:trHeight w:val="426"/>
        </w:trPr>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100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72"/>
              <w:spacing w:after="0"/>
              <w:rPr>
                <w:sz w:val="20"/>
                <w:szCs w:val="20"/>
                <w:color w:val="auto"/>
              </w:rPr>
            </w:pPr>
            <w:r>
              <w:rPr>
                <w:rFonts w:ascii="Arial" w:cs="Arial" w:eastAsia="Arial" w:hAnsi="Arial"/>
                <w:sz w:val="18"/>
                <w:szCs w:val="18"/>
                <w:color w:val="auto"/>
              </w:rPr>
              <w:t>(0.05)</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r>
      <w:tr>
        <w:trPr>
          <w:trHeight w:val="222"/>
        </w:trPr>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100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72"/>
              <w:spacing w:after="0"/>
              <w:rPr>
                <w:sz w:val="20"/>
                <w:szCs w:val="20"/>
                <w:color w:val="auto"/>
              </w:rPr>
            </w:pPr>
            <w:r>
              <w:rPr>
                <w:rFonts w:ascii="Arial" w:cs="Arial" w:eastAsia="Arial" w:hAnsi="Arial"/>
                <w:sz w:val="18"/>
                <w:szCs w:val="18"/>
                <w:color w:val="auto"/>
              </w:rPr>
              <w:t>(0.05)</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r>
      <w:tr>
        <w:trPr>
          <w:trHeight w:val="756"/>
        </w:trPr>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(57.0)</w:t>
            </w:r>
          </w:p>
        </w:tc>
        <w:tc>
          <w:tcPr>
            <w:tcW w:w="100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632"/>
              <w:spacing w:after="0"/>
              <w:rPr>
                <w:sz w:val="20"/>
                <w:szCs w:val="20"/>
                <w:color w:val="auto"/>
              </w:rPr>
            </w:pPr>
            <w:r>
              <w:rPr>
                <w:rFonts w:ascii="Arial" w:cs="Arial" w:eastAsia="Arial" w:hAnsi="Arial"/>
                <w:sz w:val="18"/>
                <w:szCs w:val="18"/>
                <w:color w:val="auto"/>
              </w:rPr>
              <w:t>3.0</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(54.0)</w:t>
            </w:r>
          </w:p>
        </w:tc>
      </w:tr>
      <w:tr>
        <w:trPr>
          <w:trHeight w:val="534"/>
        </w:trPr>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30.5</w:t>
            </w:r>
          </w:p>
        </w:tc>
        <w:tc>
          <w:tcPr>
            <w:tcW w:w="100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72"/>
              <w:spacing w:after="0"/>
              <w:rPr>
                <w:sz w:val="20"/>
                <w:szCs w:val="20"/>
                <w:color w:val="auto"/>
              </w:rPr>
            </w:pPr>
            <w:r>
              <w:rPr>
                <w:rFonts w:ascii="Arial" w:cs="Arial" w:eastAsia="Arial" w:hAnsi="Arial"/>
                <w:sz w:val="18"/>
                <w:szCs w:val="18"/>
                <w:color w:val="auto"/>
              </w:rPr>
              <w:t>(3.7)</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r>
      <w:tr>
        <w:trPr>
          <w:trHeight w:val="222"/>
        </w:trPr>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(61.7)</w:t>
            </w:r>
          </w:p>
        </w:tc>
        <w:tc>
          <w:tcPr>
            <w:tcW w:w="1000" w:type="dxa"/>
            <w:vAlign w:val="bottom"/>
          </w:tcPr>
          <w:p>
            <w:pPr>
              <w:spacing w:after="0"/>
              <w:rPr>
                <w:sz w:val="19"/>
                <w:szCs w:val="19"/>
                <w:color w:val="auto"/>
              </w:rPr>
            </w:pPr>
          </w:p>
        </w:tc>
        <w:tc>
          <w:tcPr>
            <w:tcW w:w="1340" w:type="dxa"/>
            <w:vAlign w:val="bottom"/>
          </w:tcPr>
          <w:p>
            <w:pPr>
              <w:jc w:val="right"/>
              <w:ind w:right="632"/>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(50.9)</w:t>
            </w:r>
          </w:p>
        </w:tc>
      </w:tr>
    </w:tbl>
    <w:p>
      <w:pPr>
        <w:sectPr>
          <w:pgSz w:w="11900" w:h="16838" w:orient="portrait"/>
          <w:cols w:equalWidth="0" w:num="2">
            <w:col w:w="6500" w:space="680"/>
            <w:col w:w="4240"/>
          </w:cols>
          <w:pgMar w:left="240" w:top="459" w:right="23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ASU 2011-04, Amendments to Achieve Common Fair Value Measurement and Disclosure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May 2011, the FASB issued ASU 2011-04, </w:t>
      </w:r>
      <w:r>
        <w:rPr>
          <w:rFonts w:ascii="Arial" w:cs="Arial" w:eastAsia="Arial" w:hAnsi="Arial"/>
          <w:sz w:val="16"/>
          <w:szCs w:val="16"/>
          <w:i w:val="1"/>
          <w:iCs w:val="1"/>
          <w:color w:val="auto"/>
        </w:rPr>
        <w:t>Fair Value Measurements (Topic 820) — Amendments to Achieve Common Fair Value Measurement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 Requirements in US GAAP and IFRSs</w:t>
      </w:r>
      <w:r>
        <w:rPr>
          <w:rFonts w:ascii="Arial" w:cs="Arial" w:eastAsia="Arial" w:hAnsi="Arial"/>
          <w:sz w:val="16"/>
          <w:szCs w:val="16"/>
          <w:color w:val="auto"/>
        </w:rPr>
        <w:t>. This ASU establishes common definitions of fair value and requirements for measurement and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GAAP and International Financial Reporting Standards (IFRS). The measurement principles are generally consistent with current GAAP and the changes did not have a material impact on our condensed financial statements. Enhanced disclosures include quantitative information about unobservable inputs to Level 3 measurements, when available; qualitative information about the sensitivity of Level 3 measurements to alternative inputs; and classification within the fair value hierarchy of all fair value measurements disclosed. The Company adopted this standard on January 1, 2012. See Note 6 for the Company’s disclosures related to fair value measurements. The Company did not have material Level 3 measurements as of December 31, 2012 or 2011.</w:t>
      </w:r>
    </w:p>
    <w:p>
      <w:pPr>
        <w:spacing w:after="0" w:line="199" w:lineRule="exact"/>
        <w:rPr>
          <w:sz w:val="20"/>
          <w:szCs w:val="20"/>
          <w:color w:val="auto"/>
        </w:rPr>
      </w:pPr>
    </w:p>
    <w:p>
      <w:pPr>
        <w:ind w:right="980" w:firstLine="456"/>
        <w:spacing w:after="0" w:line="332" w:lineRule="auto"/>
        <w:rPr>
          <w:sz w:val="20"/>
          <w:szCs w:val="20"/>
          <w:color w:val="auto"/>
        </w:rPr>
      </w:pPr>
      <w:r>
        <w:rPr>
          <w:rFonts w:ascii="Arial" w:cs="Arial" w:eastAsia="Arial" w:hAnsi="Arial"/>
          <w:sz w:val="16"/>
          <w:szCs w:val="16"/>
          <w:i w:val="1"/>
          <w:iCs w:val="1"/>
          <w:color w:val="auto"/>
        </w:rPr>
        <w:t>ASU 2011-05, Presentation of Comprehensive Income and ASU 2011-12 Deferral of the Effective Date for Amendments to the Presentation of Reclassifications of Items Out of Accumulated Other Comprehensive Income in Accounting Standards Update No. 2011-05</w:t>
      </w:r>
    </w:p>
    <w:p>
      <w:pPr>
        <w:spacing w:after="0" w:line="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In June 2011, the FASB issued ASU 2011-05, </w:t>
      </w:r>
      <w:r>
        <w:rPr>
          <w:rFonts w:ascii="Arial" w:cs="Arial" w:eastAsia="Arial" w:hAnsi="Arial"/>
          <w:sz w:val="16"/>
          <w:szCs w:val="16"/>
          <w:i w:val="1"/>
          <w:iCs w:val="1"/>
          <w:color w:val="auto"/>
        </w:rPr>
        <w:t>Comprehensive Income (Topic 220) — Presentation of Comprehensive Income</w:t>
      </w:r>
      <w:r>
        <w:rPr>
          <w:rFonts w:ascii="Arial" w:cs="Arial" w:eastAsia="Arial" w:hAnsi="Arial"/>
          <w:sz w:val="16"/>
          <w:szCs w:val="16"/>
          <w:color w:val="auto"/>
        </w:rPr>
        <w:t>. This ASU requires the components of net income and other comprehensive income (OCI) to be presented either in one continuous statement, referred to as the statement of comprehensive income, or in two separate but consecutive statements. While the new standard changes the presentation of comprehensive income, there are no changes to the components that are recognized in net income or OCI under current accounting standards.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ASU 2011-5 include certain requirements related to presentation of reclassifications, which were subsequently deferred indefinitely in December 2011, in ASU 2011-12, </w:t>
      </w:r>
      <w:r>
        <w:rPr>
          <w:rFonts w:ascii="Arial" w:cs="Arial" w:eastAsia="Arial" w:hAnsi="Arial"/>
          <w:sz w:val="16"/>
          <w:szCs w:val="16"/>
          <w:i w:val="1"/>
          <w:iCs w:val="1"/>
          <w:color w:val="auto"/>
        </w:rPr>
        <w:t>Comprehensive Income (Topic 220) — Deferral of the Effective Date for Amendments to the Presentation of Reclassifications of Items Out of</w:t>
      </w:r>
      <w:r>
        <w:rPr>
          <w:rFonts w:ascii="Arial" w:cs="Arial" w:eastAsia="Arial" w:hAnsi="Arial"/>
          <w:sz w:val="16"/>
          <w:szCs w:val="16"/>
          <w:color w:val="auto"/>
        </w:rPr>
        <w:t xml:space="preserve"> </w:t>
      </w:r>
      <w:r>
        <w:rPr>
          <w:rFonts w:ascii="Arial" w:cs="Arial" w:eastAsia="Arial" w:hAnsi="Arial"/>
          <w:sz w:val="16"/>
          <w:szCs w:val="16"/>
          <w:i w:val="1"/>
          <w:iCs w:val="1"/>
          <w:color w:val="auto"/>
        </w:rPr>
        <w:t>Accumulated Other Comprehensive Income in Accounting Standards Update No. 2011-05</w:t>
      </w:r>
      <w:r>
        <w:rPr>
          <w:rFonts w:ascii="Arial" w:cs="Arial" w:eastAsia="Arial" w:hAnsi="Arial"/>
          <w:sz w:val="16"/>
          <w:szCs w:val="16"/>
          <w:color w:val="auto"/>
        </w:rPr>
        <w:t>. The Company adopted both standards on January 1, 2012 and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the statements of comprehensive income as separate statements in the consolidated financial statements.</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In January 2013, the FASB issued ASU 2013-02, </w:t>
      </w:r>
      <w:r>
        <w:rPr>
          <w:rFonts w:ascii="Arial" w:cs="Arial" w:eastAsia="Arial" w:hAnsi="Arial"/>
          <w:sz w:val="16"/>
          <w:szCs w:val="16"/>
          <w:i w:val="1"/>
          <w:iCs w:val="1"/>
          <w:color w:val="auto"/>
        </w:rPr>
        <w:t>Comprehensive Income (Topic 220) — Reporting of Amounts Reclassified Out of Accumulated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This standard requires entities to report the effect of significant reclassifications out of AOCI on the respective line items in net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The standard is effective prospectively for periods beginning after December 15, 2012, with early adoption permitted. The Company will adopt this standard on January 1, 2013 and, effective with the first quarter of 2013, will provide the additional disclosures.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ASU 2011-11, Disclosures about Offsetting Assets and Liabilities</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 xml:space="preserve">In December 2011, the FASB issued ASU 2011-11, </w:t>
      </w:r>
      <w:r>
        <w:rPr>
          <w:rFonts w:ascii="Arial" w:cs="Arial" w:eastAsia="Arial" w:hAnsi="Arial"/>
          <w:sz w:val="16"/>
          <w:szCs w:val="16"/>
          <w:i w:val="1"/>
          <w:iCs w:val="1"/>
          <w:color w:val="auto"/>
        </w:rPr>
        <w:t>Balance Sheet (Topic 210) — Disclosures about Offsetting Assets and Liabilities</w:t>
      </w:r>
      <w:r>
        <w:rPr>
          <w:rFonts w:ascii="Arial" w:cs="Arial" w:eastAsia="Arial" w:hAnsi="Arial"/>
          <w:sz w:val="16"/>
          <w:szCs w:val="16"/>
          <w:color w:val="auto"/>
        </w:rPr>
        <w:t>. This ASU requires the Company to disclose information about offsetting and related arrangements to enable users to understand the effect of those arrangements on its financial position. The new disclosure requirements are effective for annual and interim periods beginning on or after January 1, 2013, with retrospective application required. Effective with the first quarter 2013, the Company will provide the additional disclosures.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In January 2013, the FASB issued ASU 2013-01, </w:t>
      </w:r>
      <w:r>
        <w:rPr>
          <w:rFonts w:ascii="Arial" w:cs="Arial" w:eastAsia="Arial" w:hAnsi="Arial"/>
          <w:sz w:val="18"/>
          <w:szCs w:val="18"/>
          <w:i w:val="1"/>
          <w:iCs w:val="1"/>
          <w:color w:val="auto"/>
        </w:rPr>
        <w:t>Balance Sheet (Topic 210)</w:t>
      </w:r>
      <w:r>
        <w:rPr>
          <w:rFonts w:ascii="Arial" w:cs="Arial" w:eastAsia="Arial" w:hAnsi="Arial"/>
          <w:sz w:val="18"/>
          <w:szCs w:val="18"/>
          <w:color w:val="auto"/>
        </w:rPr>
        <w:t xml:space="preserve"> – </w:t>
      </w:r>
      <w:r>
        <w:rPr>
          <w:rFonts w:ascii="Arial" w:cs="Arial" w:eastAsia="Arial" w:hAnsi="Arial"/>
          <w:sz w:val="18"/>
          <w:szCs w:val="18"/>
          <w:i w:val="1"/>
          <w:iCs w:val="1"/>
          <w:color w:val="auto"/>
        </w:rPr>
        <w:t>Scope Clarification of Disclosures about Offsetting Assets and Liabilities</w:t>
      </w:r>
      <w:r>
        <w:rPr>
          <w:rFonts w:ascii="Arial" w:cs="Arial" w:eastAsia="Arial" w:hAnsi="Arial"/>
          <w:sz w:val="18"/>
          <w:szCs w:val="18"/>
          <w:color w:val="auto"/>
        </w:rPr>
        <w:t>. This ASU limits the scope requirements to derivatives,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repurchase agreements and reverse repurchase agreements, and securities borrowing and lending transactions. Similar to ASU 2011-11, the scope limitation is effective for annual and interim periods beginning on or after January 1, 2013, with retrospective application required.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Basic earnings per share represents the amount of earnings for the period available to each share of common stock outstanding during the reporting period. Diluted earnings per share represents the amount of earnings for the period available to each share of common stock outstanding during the reporting period, adjusted for the potential issuance of common stock if dilutive.</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Company’s outstanding warrants, exercisable for 18.976 common shares, are considered participating securities because the terms of the agreements entitle the holders to receive any dividends declared on the common stock concurrently with the holders of outstanding shares of common stock, on a one-to-one basis. As a result, the warrants are potential common stock securities that are included in weighted-average common shares outstanding for purposes of computing basic and diluted earnings per share using the two-class method.</w:t>
      </w:r>
    </w:p>
    <w:p>
      <w:pPr>
        <w:spacing w:after="0" w:line="143"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The Company has issued equity instruments to employees that are included in the computation of earnings per share, including restricted stock, stock options and shares issued under the employee stock purchase plan. Refer to Note 9 for discussion of these plans. The restricted shares are considered participating securities because the holders are entitled to receive any dividends declared on the common stock concurrently with the holders of outstanding shares of common stock, on a one-to-one basis. Participating restricted stock is included in basic and diluted earnings per share based on the application of the two-class method.</w:t>
      </w:r>
    </w:p>
    <w:p>
      <w:pPr>
        <w:spacing w:after="0" w:line="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Estimated shares to be issued under the employee stock purchase plan are included in diluted earnings per share based on the application of the treasury stock method.</w:t>
      </w:r>
    </w:p>
    <w:p>
      <w:pPr>
        <w:spacing w:after="0" w:line="13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the years ended December 31, 2012, 2011 and 2010, 2.650, 2.950 and 2.950 of stock options, respectively, were excluded from the computation of diluted earnings per share, based on the application of the treasury stock method, because they were antidilutive. Also, performance units granted during 2011 had the option to settle in cash or shares at the Company’s discretion. These units were excluded from the computation of diluted earnings per share because the Company has a historical practice of and intent to settle these awards in cash. Beginning in 2012, performance units granted are required to be settled in cash. Refer to Note 15 for discussion of the performance units.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relating to the Company’s calculations of basic and diluted earnings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1"/>
              </w:rPr>
              <w:t>For the Years Ended December 31,</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(As adjusted)</w:t>
            </w:r>
          </w:p>
        </w:tc>
        <w:tc>
          <w:tcPr>
            <w:tcW w:w="66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(As adjusted)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Net income, as reported</w:t>
            </w:r>
          </w:p>
        </w:tc>
        <w:tc>
          <w:tcPr>
            <w:tcW w:w="29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205.4</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195.8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Weighted-average common shares outstanding — basic</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138.018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137.491</w:t>
            </w: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135.609</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Add: dilutive effect of certain equity instruments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0.006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0.009</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440"/>
              <w:spacing w:after="0"/>
              <w:rPr>
                <w:sz w:val="20"/>
                <w:szCs w:val="20"/>
                <w:color w:val="auto"/>
              </w:rPr>
            </w:pPr>
            <w:r>
              <w:rPr>
                <w:rFonts w:ascii="Arial" w:cs="Arial" w:eastAsia="Arial" w:hAnsi="Arial"/>
                <w:sz w:val="18"/>
                <w:szCs w:val="18"/>
                <w:color w:val="auto"/>
                <w:w w:val="99"/>
              </w:rPr>
              <w:t>Weighted-average common shares outstanding — diluted</w:t>
            </w:r>
          </w:p>
        </w:tc>
        <w:tc>
          <w:tcPr>
            <w:tcW w:w="2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138.024</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137.503</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135.618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Basic</w:t>
            </w:r>
          </w:p>
        </w:tc>
        <w:tc>
          <w:tcPr>
            <w:tcW w:w="29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363"/>
        </w:trPr>
        <w:tc>
          <w:tcPr>
            <w:tcW w:w="5020" w:type="dxa"/>
            <w:vAlign w:val="bottom"/>
          </w:tcPr>
          <w:p>
            <w:pPr>
              <w:spacing w:after="0"/>
              <w:rPr>
                <w:sz w:val="24"/>
                <w:szCs w:val="24"/>
                <w:color w:val="auto"/>
              </w:rPr>
            </w:pPr>
          </w:p>
        </w:tc>
        <w:tc>
          <w:tcPr>
            <w:tcW w:w="2800" w:type="dxa"/>
            <w:vAlign w:val="bottom"/>
          </w:tcPr>
          <w:p>
            <w:pPr>
              <w:jc w:val="right"/>
              <w:ind w:right="189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following tables summarize the Company’s available-for-sale fixed maturities and marketable equity securities. The OTTI in AOCI represent the amount of cumulative non-credit OTTI losses recorded in AOCI for securities that also had a credit-related impairment.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Cost or</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Gross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Amortized</w:t>
            </w:r>
          </w:p>
        </w:tc>
        <w:tc>
          <w:tcPr>
            <w:tcW w:w="44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Fair</w:t>
            </w: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OTTI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Gains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78"/>
              </w:rPr>
              <w:t>Losses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6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2012</w:t>
            </w:r>
          </w:p>
        </w:tc>
        <w:tc>
          <w:tcPr>
            <w:tcW w:w="14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Fixed maturities: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U.S. government and agencies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307.6</w:t>
            </w:r>
          </w:p>
        </w:tc>
        <w:tc>
          <w:tcPr>
            <w:tcW w:w="520" w:type="dxa"/>
            <w:vAlign w:val="bottom"/>
            <w:tcBorders>
              <w:left w:val="single" w:sz="8" w:color="CCEEFF"/>
            </w:tcBorders>
            <w:gridSpan w:val="2"/>
            <w:shd w:val="clear" w:color="auto" w:fill="CCEEFF"/>
          </w:tcPr>
          <w:p>
            <w:pPr>
              <w:ind w:left="440"/>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311.5</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State and political subdivisions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737.9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776.5</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Corporate securities</w:t>
            </w:r>
          </w:p>
        </w:tc>
        <w:tc>
          <w:tcPr>
            <w:tcW w:w="1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15,280.4</w:t>
            </w:r>
          </w:p>
        </w:tc>
        <w:tc>
          <w:tcPr>
            <w:tcW w:w="44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6"/>
              </w:rPr>
              <w:t>1,972.6</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(51.4)</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5"/>
              </w:rPr>
              <w:t>17,201.6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3"/>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Residential mortgage-backed securities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2,755.5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254.1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3,007.8</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3"/>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Commercial mortgage-backed securities</w:t>
            </w:r>
          </w:p>
        </w:tc>
        <w:tc>
          <w:tcPr>
            <w:tcW w:w="1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1,538.2</w:t>
            </w:r>
          </w:p>
        </w:tc>
        <w:tc>
          <w:tcPr>
            <w:tcW w:w="44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170.4</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(0.9)</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9"/>
              </w:rPr>
              <w:t>1,707.7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Other debt obligations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453.8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513.9</w:t>
            </w: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fixed maturities</w:t>
            </w:r>
          </w:p>
        </w:tc>
        <w:tc>
          <w:tcPr>
            <w:tcW w:w="1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21,073.4</w:t>
            </w:r>
          </w:p>
        </w:tc>
        <w:tc>
          <w:tcPr>
            <w:tcW w:w="44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6"/>
              </w:rPr>
              <w:t>2,502.3</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(56.7)</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5"/>
              </w:rPr>
              <w:t>23,519.0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3"/>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Marketable equity securities, available-for-sale</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49.6</w:t>
            </w: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21,125.4</w:t>
            </w:r>
          </w:p>
        </w:tc>
        <w:tc>
          <w:tcPr>
            <w:tcW w:w="1240" w:type="dxa"/>
            <w:vAlign w:val="bottom"/>
            <w:tcBorders>
              <w:lef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2,502.3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5"/>
              </w:rPr>
              <w:t>23,568.6</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6"/>
              </w:rPr>
              <w:t>$ (30.1)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center"/>
              <w:ind w:right="37"/>
              <w:spacing w:after="0"/>
              <w:rPr>
                <w:sz w:val="20"/>
                <w:szCs w:val="20"/>
                <w:color w:val="auto"/>
              </w:rPr>
            </w:pPr>
            <w:r>
              <w:rPr>
                <w:rFonts w:ascii="Arial" w:cs="Arial" w:eastAsia="Arial" w:hAnsi="Arial"/>
                <w:sz w:val="14"/>
                <w:szCs w:val="14"/>
                <w:b w:val="1"/>
                <w:bCs w:val="1"/>
                <w:color w:val="auto"/>
                <w:w w:val="85"/>
              </w:rPr>
              <w:t>Cost or</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Amortized</w:t>
            </w:r>
          </w:p>
        </w:tc>
        <w:tc>
          <w:tcPr>
            <w:tcW w:w="44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Fair</w:t>
            </w: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OTTI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37"/>
              <w:spacing w:after="0"/>
              <w:rPr>
                <w:sz w:val="20"/>
                <w:szCs w:val="20"/>
                <w:color w:val="auto"/>
              </w:rPr>
            </w:pPr>
            <w:r>
              <w:rPr>
                <w:rFonts w:ascii="Arial" w:cs="Arial" w:eastAsia="Arial" w:hAnsi="Arial"/>
                <w:sz w:val="14"/>
                <w:szCs w:val="14"/>
                <w:b w:val="1"/>
                <w:bCs w:val="1"/>
                <w:color w:val="auto"/>
                <w:w w:val="83"/>
              </w:rPr>
              <w:t>Cost</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Gains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74"/>
              </w:rPr>
              <w:t>Losses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Value</w:t>
            </w:r>
          </w:p>
        </w:tc>
        <w:tc>
          <w:tcPr>
            <w:tcW w:w="6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2011</w:t>
            </w:r>
          </w:p>
        </w:tc>
        <w:tc>
          <w:tcPr>
            <w:tcW w:w="14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Fixed maturities: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U.S. government and agencies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520" w:type="dxa"/>
            <w:vAlign w:val="bottom"/>
            <w:tcBorders>
              <w:left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lef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State and political subdivisions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609.1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635.3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Corporate securities</w:t>
            </w:r>
          </w:p>
        </w:tc>
        <w:tc>
          <w:tcPr>
            <w:tcW w:w="2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14,795.4</w:t>
            </w:r>
          </w:p>
        </w:tc>
        <w:tc>
          <w:tcPr>
            <w:tcW w:w="102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1,570.8</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(185.0)</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16,181.2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Residential mortgage-backed securities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3,388.4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3,625.0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Commercial mortgage-backed securities</w:t>
            </w:r>
          </w:p>
        </w:tc>
        <w:tc>
          <w:tcPr>
            <w:tcW w:w="1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1,698.1</w:t>
            </w:r>
          </w:p>
        </w:tc>
        <w:tc>
          <w:tcPr>
            <w:tcW w:w="44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1,837.0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Other debt obligations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488.4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539.5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fixed maturities</w:t>
            </w:r>
          </w:p>
        </w:tc>
        <w:tc>
          <w:tcPr>
            <w:tcW w:w="144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21,061.4</w:t>
            </w:r>
          </w:p>
        </w:tc>
        <w:tc>
          <w:tcPr>
            <w:tcW w:w="44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2,054.1</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(210.3)</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22,905.2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Marketable equity securities, available-for-sale</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4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5"/>
              </w:rPr>
              <w:t>$</w:t>
            </w:r>
            <w:r>
              <w:rPr>
                <w:rFonts w:ascii="Arial" w:cs="Arial" w:eastAsia="Arial" w:hAnsi="Arial"/>
                <w:sz w:val="18"/>
                <w:szCs w:val="18"/>
                <w:color w:val="auto"/>
                <w:w w:val="75"/>
              </w:rPr>
              <w:t xml:space="preserve"> 21,113.8</w:t>
            </w:r>
          </w:p>
        </w:tc>
        <w:tc>
          <w:tcPr>
            <w:tcW w:w="102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2,054.3</w:t>
            </w:r>
          </w:p>
        </w:tc>
        <w:tc>
          <w:tcPr>
            <w:tcW w:w="220" w:type="dxa"/>
            <w:vAlign w:val="bottom"/>
            <w:tcBorders>
              <w:lef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(212.6)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22,955.5</w:t>
            </w:r>
          </w:p>
        </w:tc>
        <w:tc>
          <w:tcPr>
            <w:tcW w:w="3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 (57.3)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maintains a diversified portfolio of corporate fixed maturity securities across industries. The following table presents the composition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corporate securities portfolio by sector:</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4"/>
                <w:szCs w:val="14"/>
                <w:b w:val="1"/>
                <w:bCs w:val="1"/>
                <w:color w:val="auto"/>
                <w:w w:val="94"/>
              </w:rPr>
              <w:t>As of December 31, 2012</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w w:val="95"/>
              </w:rPr>
              <w:t>As of December 31, 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6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 of Total</w:t>
            </w:r>
          </w:p>
        </w:tc>
        <w:tc>
          <w:tcPr>
            <w:tcW w:w="4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6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 of Total</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Industrials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3,324.8</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3,197.4</w:t>
            </w:r>
          </w:p>
        </w:tc>
        <w:tc>
          <w:tcPr>
            <w:tcW w:w="6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420"/>
              <w:spacing w:after="0"/>
              <w:rPr>
                <w:sz w:val="20"/>
                <w:szCs w:val="20"/>
                <w:color w:val="auto"/>
              </w:rPr>
            </w:pPr>
            <w:r>
              <w:rPr>
                <w:rFonts w:ascii="Arial" w:cs="Arial" w:eastAsia="Arial" w:hAnsi="Arial"/>
                <w:sz w:val="18"/>
                <w:szCs w:val="18"/>
                <w:color w:val="auto"/>
              </w:rPr>
              <w:t>Consumer staples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9"/>
              </w:rPr>
              <w:t>2,785.1</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16.2</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2,710.7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 discretionary</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w w:val="99"/>
              </w:rPr>
              <w:t>2,113.7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1,709.0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420"/>
              <w:spacing w:after="0"/>
              <w:rPr>
                <w:sz w:val="20"/>
                <w:szCs w:val="20"/>
                <w:color w:val="auto"/>
              </w:rPr>
            </w:pPr>
            <w:r>
              <w:rPr>
                <w:rFonts w:ascii="Arial" w:cs="Arial" w:eastAsia="Arial" w:hAnsi="Arial"/>
                <w:sz w:val="18"/>
                <w:szCs w:val="18"/>
                <w:color w:val="auto"/>
              </w:rPr>
              <w:t>Utilities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9"/>
              </w:rPr>
              <w:t>1,921.9</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11.2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1,926.3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Financials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w w:val="99"/>
              </w:rPr>
              <w:t>1,873.3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1,879.3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420"/>
              <w:spacing w:after="0"/>
              <w:rPr>
                <w:sz w:val="20"/>
                <w:szCs w:val="20"/>
                <w:color w:val="auto"/>
              </w:rPr>
            </w:pPr>
            <w:r>
              <w:rPr>
                <w:rFonts w:ascii="Arial" w:cs="Arial" w:eastAsia="Arial" w:hAnsi="Arial"/>
                <w:sz w:val="18"/>
                <w:szCs w:val="18"/>
                <w:color w:val="auto"/>
              </w:rPr>
              <w:t>Other</w:t>
            </w:r>
          </w:p>
        </w:tc>
        <w:tc>
          <w:tcPr>
            <w:tcW w:w="2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5,182.8</w:t>
            </w:r>
          </w:p>
        </w:tc>
        <w:tc>
          <w:tcPr>
            <w:tcW w:w="6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4,758.5</w:t>
            </w:r>
          </w:p>
        </w:tc>
        <w:tc>
          <w:tcPr>
            <w:tcW w:w="6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w w:val="85"/>
              </w:rPr>
              <w:t>17,201.6</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16,181.2</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100" w:type="dxa"/>
            <w:vAlign w:val="bottom"/>
            <w:vMerge w:val="restart"/>
          </w:tcPr>
          <w:p>
            <w:pPr>
              <w:jc w:val="right"/>
              <w:ind w:right="252"/>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following tables summarize gross unrealized losses and fair values of the Company’s available-for-sale investments. The tables are aggregated by investment category and present separately those securities that have been in a continuous unrealized loss position for less than twelve months and for twelve months or more.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right"/>
              <w:ind w:right="412"/>
              <w:spacing w:after="0"/>
              <w:rPr>
                <w:sz w:val="20"/>
                <w:szCs w:val="20"/>
                <w:color w:val="auto"/>
              </w:rPr>
            </w:pPr>
            <w:r>
              <w:rPr>
                <w:rFonts w:ascii="Arial" w:cs="Arial" w:eastAsia="Arial" w:hAnsi="Arial"/>
                <w:sz w:val="14"/>
                <w:szCs w:val="14"/>
                <w:b w:val="1"/>
                <w:bCs w:val="1"/>
                <w:color w:val="auto"/>
                <w:w w:val="85"/>
              </w:rPr>
              <w:t>Less Than 12 Months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12 Months or More</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93"/>
              </w:rPr>
              <w:t>Gross</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3"/>
              </w:rPr>
              <w:t>Gross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2"/>
                <w:szCs w:val="12"/>
                <w:color w:val="auto"/>
              </w:rPr>
            </w:pPr>
          </w:p>
        </w:tc>
        <w:tc>
          <w:tcPr>
            <w:tcW w:w="5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0"/>
              </w:rPr>
              <w:t>#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0"/>
              </w:rPr>
              <w:t>Securities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0"/>
              </w:rPr>
              <w:t>Value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78"/>
              </w:rPr>
              <w:t>Losses</w:t>
            </w: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2012</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left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Fixed maturities:</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U.S. government and agencies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$205.7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State and political subdivisions</w:t>
            </w: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rPr>
              <w:t>42.5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(0.3)</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Corporate securities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342.9</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2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8"/>
              </w:rPr>
              <w:t>316.0</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(45.6)</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Residential mortgage-backed securities</w:t>
            </w: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rPr>
              <w:t>73.9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(0.5)</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Commercial mortgage-backed securities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30.5</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Other debt obligations</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38.9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(0.6)</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(0.2)</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fixed maturities</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713.8</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8"/>
              </w:rPr>
              <w:t>424.1</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(48.6)</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Marketable equity securities, available-for-sale</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(0.8)</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733.9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820" w:type="dxa"/>
            <w:vAlign w:val="bottom"/>
            <w:tcBorders>
              <w:lef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453.6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(50.2)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center"/>
              <w:ind w:left="302"/>
              <w:spacing w:after="0"/>
              <w:rPr>
                <w:sz w:val="20"/>
                <w:szCs w:val="20"/>
                <w:color w:val="auto"/>
              </w:rPr>
            </w:pPr>
            <w:r>
              <w:rPr>
                <w:rFonts w:ascii="Arial" w:cs="Arial" w:eastAsia="Arial" w:hAnsi="Arial"/>
                <w:sz w:val="14"/>
                <w:szCs w:val="14"/>
                <w:b w:val="1"/>
                <w:bCs w:val="1"/>
                <w:color w:val="auto"/>
                <w:w w:val="87"/>
              </w:rPr>
              <w:t>Less Than 12 Months</w:t>
            </w: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1"/>
              </w:rPr>
              <w:t>12 Months or More</w:t>
            </w: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3"/>
              </w:rPr>
              <w:t>Gross</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3"/>
              </w:rPr>
              <w:t>Gross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2"/>
                <w:szCs w:val="12"/>
                <w:color w:val="auto"/>
              </w:rPr>
            </w:pPr>
          </w:p>
        </w:tc>
        <w:tc>
          <w:tcPr>
            <w:tcW w:w="9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Unrealized</w:t>
            </w:r>
          </w:p>
        </w:tc>
        <w:tc>
          <w:tcPr>
            <w:tcW w:w="40" w:type="dxa"/>
            <w:vAlign w:val="bottom"/>
          </w:tcPr>
          <w:p>
            <w:pPr>
              <w:spacing w:after="0"/>
              <w:rPr>
                <w:sz w:val="12"/>
                <w:szCs w:val="12"/>
                <w:color w:val="auto"/>
              </w:rPr>
            </w:pPr>
          </w:p>
        </w:tc>
        <w:tc>
          <w:tcPr>
            <w:tcW w:w="52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3"/>
              </w:rPr>
              <w:t>Fair</w:t>
            </w:r>
          </w:p>
        </w:tc>
        <w:tc>
          <w:tcPr>
            <w:tcW w:w="2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0"/>
              </w:rPr>
              <w:t>#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9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78"/>
              </w:rPr>
              <w:t>Losses</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0"/>
              </w:rPr>
              <w:t>Securities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78"/>
              </w:rPr>
              <w:t>Losses</w:t>
            </w: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2011</w:t>
            </w: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left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Fixed maturities:</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State and political subdivisions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18.3</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6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Corporate securities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883.2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(50.9)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601.9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(134.1)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 mortgage-backed securities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6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60" w:type="dxa"/>
            <w:vAlign w:val="bottom"/>
            <w:tcBorders>
              <w:lef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Commercial mortgage-backed securities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54.6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debt obligations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tcBorders>
              <w:lef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420"/>
              <w:spacing w:after="0"/>
              <w:rPr>
                <w:sz w:val="20"/>
                <w:szCs w:val="20"/>
                <w:color w:val="auto"/>
              </w:rPr>
            </w:pPr>
            <w:r>
              <w:rPr>
                <w:rFonts w:ascii="Arial" w:cs="Arial" w:eastAsia="Arial" w:hAnsi="Arial"/>
                <w:sz w:val="18"/>
                <w:szCs w:val="18"/>
                <w:color w:val="auto"/>
              </w:rPr>
              <w:t>Total fixed maturities</w:t>
            </w:r>
          </w:p>
        </w:tc>
        <w:tc>
          <w:tcPr>
            <w:tcW w:w="6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vMerge w:val="continue"/>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9"/>
              </w:rPr>
              <w:t>1,094.4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(54.2)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924.5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(156.1)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Marketable equity securities, available-for-sale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lef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80" w:type="dxa"/>
            <w:vAlign w:val="bottom"/>
            <w:gridSpan w:val="2"/>
            <w:vMerge w:val="continue"/>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1,139.1</w:t>
            </w:r>
          </w:p>
        </w:tc>
        <w:tc>
          <w:tcPr>
            <w:tcW w:w="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(55.4)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7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929.5</w:t>
            </w:r>
          </w:p>
        </w:tc>
        <w:tc>
          <w:tcPr>
            <w:tcW w:w="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(157.2)</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Based on National Association of Insurance Commissioners (NAIC) ratings, as of December 31, 2012 and 2011, the Company held below-investment-grade fixed maturities with fair values of $1,279.2 and $1,508.1, respectively, and amortized costs of $1,241.3 and $1,583.7, respectively. These holdings amounted to 5.4% and 6.6% of the Company’s investments in fixed maturities at fair value as of December 31, 2012 and 2011,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The Company invests in certain structured securities, primarily consisting of mortgage-backed securities. The following table presents additional information about the composition of the Company’s investments in agency and non-agency mortgage-backed securities: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58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w w:val="98"/>
              </w:rPr>
              <w:t>As of December 31, 2012</w:t>
            </w:r>
          </w:p>
        </w:tc>
        <w:tc>
          <w:tcPr>
            <w:tcW w:w="20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8"/>
              </w:rPr>
              <w:t>As of December 31,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Fair Value</w:t>
            </w:r>
          </w:p>
        </w:tc>
        <w:tc>
          <w:tcPr>
            <w:tcW w:w="5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 of Total</w:t>
            </w:r>
          </w:p>
        </w:tc>
        <w:tc>
          <w:tcPr>
            <w:tcW w:w="7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Fair Value</w:t>
            </w:r>
          </w:p>
        </w:tc>
        <w:tc>
          <w:tcPr>
            <w:tcW w:w="5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Agency mortgage-backed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$ 3,065.6</w:t>
            </w: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65.0%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$ 3,783.8</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Non-agency mortgage-backed securities: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mortgage-backed securities:</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860"/>
              <w:spacing w:after="0"/>
              <w:rPr>
                <w:sz w:val="20"/>
                <w:szCs w:val="20"/>
                <w:color w:val="auto"/>
              </w:rPr>
            </w:pPr>
            <w:r>
              <w:rPr>
                <w:rFonts w:ascii="Arial" w:cs="Arial" w:eastAsia="Arial" w:hAnsi="Arial"/>
                <w:sz w:val="18"/>
                <w:szCs w:val="18"/>
                <w:color w:val="auto"/>
              </w:rPr>
              <w:t>Prime</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237.7</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5.0</w:t>
            </w:r>
          </w:p>
        </w:tc>
        <w:tc>
          <w:tcPr>
            <w:tcW w:w="72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272.8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Alt-A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81.8</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7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420"/>
              <w:spacing w:after="0"/>
              <w:rPr>
                <w:sz w:val="20"/>
                <w:szCs w:val="20"/>
                <w:color w:val="auto"/>
              </w:rPr>
            </w:pPr>
            <w:r>
              <w:rPr>
                <w:rFonts w:ascii="Arial" w:cs="Arial" w:eastAsia="Arial" w:hAnsi="Arial"/>
                <w:sz w:val="18"/>
                <w:szCs w:val="18"/>
                <w:color w:val="auto"/>
              </w:rPr>
              <w:t>Total non-agency residential mortgage-backed securities</w:t>
            </w:r>
          </w:p>
        </w:tc>
        <w:tc>
          <w:tcPr>
            <w:tcW w:w="64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319.5</w:t>
            </w:r>
          </w:p>
        </w:tc>
        <w:tc>
          <w:tcPr>
            <w:tcW w:w="56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720" w:type="dxa"/>
            <w:vAlign w:val="bottom"/>
            <w:vMerge w:val="continue"/>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362.2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mortgage-backed securities:</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860"/>
              <w:spacing w:after="0"/>
              <w:rPr>
                <w:sz w:val="20"/>
                <w:szCs w:val="20"/>
                <w:color w:val="auto"/>
              </w:rPr>
            </w:pPr>
            <w:r>
              <w:rPr>
                <w:rFonts w:ascii="Arial" w:cs="Arial" w:eastAsia="Arial" w:hAnsi="Arial"/>
                <w:sz w:val="18"/>
                <w:szCs w:val="18"/>
                <w:color w:val="auto"/>
              </w:rPr>
              <w:t>AAA</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1,289.1</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27.4</w:t>
            </w:r>
          </w:p>
        </w:tc>
        <w:tc>
          <w:tcPr>
            <w:tcW w:w="72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1,274.9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Below AAA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7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420"/>
              <w:spacing w:after="0"/>
              <w:rPr>
                <w:sz w:val="20"/>
                <w:szCs w:val="20"/>
                <w:color w:val="auto"/>
              </w:rPr>
            </w:pPr>
            <w:r>
              <w:rPr>
                <w:rFonts w:ascii="Arial" w:cs="Arial" w:eastAsia="Arial" w:hAnsi="Arial"/>
                <w:sz w:val="18"/>
                <w:szCs w:val="18"/>
                <w:color w:val="auto"/>
              </w:rPr>
              <w:t>Total non-agency commercial mortgage-backed securities</w:t>
            </w:r>
          </w:p>
        </w:tc>
        <w:tc>
          <w:tcPr>
            <w:tcW w:w="64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1,330.4</w:t>
            </w:r>
          </w:p>
        </w:tc>
        <w:tc>
          <w:tcPr>
            <w:tcW w:w="56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28.3</w:t>
            </w:r>
          </w:p>
        </w:tc>
        <w:tc>
          <w:tcPr>
            <w:tcW w:w="72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1,316.0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non-agency mortgage-backed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1,649.9</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7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1,678.2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Total mortgage-backed securities</w:t>
            </w:r>
          </w:p>
        </w:tc>
        <w:tc>
          <w:tcPr>
            <w:tcW w:w="64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80" w:type="dxa"/>
            <w:vAlign w:val="bottom"/>
            <w:gridSpan w:val="2"/>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82"/>
              </w:rPr>
              <w:t>$ 4,715.5</w:t>
            </w:r>
          </w:p>
        </w:tc>
        <w:tc>
          <w:tcPr>
            <w:tcW w:w="560" w:type="dxa"/>
            <w:vAlign w:val="bottom"/>
            <w:vMerge w:val="continue"/>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100.0%</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5,462.0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Of the non-agency RMBS classified as Alt-A, 87.5% and 59.1% had an NAIC rating of 1 as of December 31, 2012 and 2011, respectively. As of December 31, 2012 and 2011, the Company had no mortgage-backed securities classified as subprime.</w:t>
      </w:r>
    </w:p>
    <w:p>
      <w:pPr>
        <w:spacing w:after="0" w:line="13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following table summarizes the amortized cost and fair value of fixed maturities as of December 31, 2012, by contractual years to maturity. Actual maturities may differ from contractual maturities because borrowers may have the right to call or prepay obligations with or without penalties.</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Amortized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Fair</w:t>
            </w:r>
          </w:p>
        </w:tc>
      </w:tr>
      <w:tr>
        <w:trPr>
          <w:trHeight w:val="16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Cost</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6580" w:type="dxa"/>
            <w:vAlign w:val="bottom"/>
            <w:tcBorders>
              <w:top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One year or less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430.6</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Over one year through five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9"/>
              </w:rPr>
              <w:t>3,807.8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4,120.3</w:t>
            </w:r>
          </w:p>
        </w:tc>
        <w:tc>
          <w:tcPr>
            <w:tcW w:w="80" w:type="dxa"/>
            <w:vAlign w:val="bottom"/>
          </w:tcPr>
          <w:p>
            <w:pPr>
              <w:spacing w:after="0"/>
              <w:rPr>
                <w:sz w:val="18"/>
                <w:szCs w:val="18"/>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Over five years through ten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7,869.2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8,790.5</w:t>
            </w:r>
          </w:p>
        </w:tc>
        <w:tc>
          <w:tcPr>
            <w:tcW w:w="80" w:type="dxa"/>
            <w:vAlign w:val="bottom"/>
            <w:shd w:val="clear" w:color="auto" w:fill="CCEEFF"/>
          </w:tcPr>
          <w:p>
            <w:pPr>
              <w:spacing w:after="0"/>
              <w:rPr>
                <w:sz w:val="18"/>
                <w:szCs w:val="18"/>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Over ten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9"/>
              </w:rPr>
              <w:t>4,257.7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4,987.8</w:t>
            </w:r>
          </w:p>
        </w:tc>
        <w:tc>
          <w:tcPr>
            <w:tcW w:w="80" w:type="dxa"/>
            <w:vAlign w:val="bottom"/>
          </w:tcPr>
          <w:p>
            <w:pPr>
              <w:spacing w:after="0"/>
              <w:rPr>
                <w:sz w:val="18"/>
                <w:szCs w:val="18"/>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mortgage-backed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2,755.5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3,007.8</w:t>
            </w:r>
          </w:p>
        </w:tc>
        <w:tc>
          <w:tcPr>
            <w:tcW w:w="80" w:type="dxa"/>
            <w:vAlign w:val="bottom"/>
            <w:shd w:val="clear" w:color="auto" w:fill="CCEEFF"/>
          </w:tcPr>
          <w:p>
            <w:pPr>
              <w:spacing w:after="0"/>
              <w:rPr>
                <w:sz w:val="18"/>
                <w:szCs w:val="18"/>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Commercial mortgage-backed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9"/>
              </w:rPr>
              <w:t>1,538.2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1,707.7</w:t>
            </w:r>
          </w:p>
        </w:tc>
        <w:tc>
          <w:tcPr>
            <w:tcW w:w="80" w:type="dxa"/>
            <w:vAlign w:val="bottom"/>
          </w:tcPr>
          <w:p>
            <w:pPr>
              <w:spacing w:after="0"/>
              <w:rPr>
                <w:sz w:val="18"/>
                <w:szCs w:val="18"/>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asset-backed securities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414.4</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465.5</w:t>
            </w:r>
          </w:p>
        </w:tc>
        <w:tc>
          <w:tcPr>
            <w:tcW w:w="80" w:type="dxa"/>
            <w:vAlign w:val="bottom"/>
            <w:shd w:val="clear" w:color="auto" w:fill="CCEEFF"/>
          </w:tcPr>
          <w:p>
            <w:pPr>
              <w:spacing w:after="0"/>
              <w:rPr>
                <w:sz w:val="18"/>
                <w:szCs w:val="18"/>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 fixed maturities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21,073.4</w:t>
            </w:r>
          </w:p>
        </w:tc>
        <w:tc>
          <w:tcPr>
            <w:tcW w:w="5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23,519.0</w:t>
            </w:r>
          </w:p>
        </w:tc>
        <w:tc>
          <w:tcPr>
            <w:tcW w:w="8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net investment income: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00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2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ind w:left="880"/>
              <w:spacing w:after="0" w:line="202" w:lineRule="exact"/>
              <w:rPr>
                <w:sz w:val="20"/>
                <w:szCs w:val="20"/>
                <w:color w:val="auto"/>
              </w:rPr>
            </w:pPr>
            <w:r>
              <w:rPr>
                <w:rFonts w:ascii="Arial" w:cs="Arial" w:eastAsia="Arial" w:hAnsi="Arial"/>
                <w:sz w:val="18"/>
                <w:szCs w:val="18"/>
                <w:color w:val="auto"/>
              </w:rPr>
              <w:t>Fixed maturities</w:t>
            </w:r>
          </w:p>
        </w:tc>
        <w:tc>
          <w:tcPr>
            <w:tcW w:w="28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$1,122.5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$1,151.9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$1,119.9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880"/>
              <w:spacing w:after="0"/>
              <w:rPr>
                <w:sz w:val="20"/>
                <w:szCs w:val="20"/>
                <w:color w:val="auto"/>
              </w:rPr>
            </w:pPr>
            <w:r>
              <w:rPr>
                <w:rFonts w:ascii="Arial" w:cs="Arial" w:eastAsia="Arial" w:hAnsi="Arial"/>
                <w:sz w:val="18"/>
                <w:szCs w:val="18"/>
                <w:color w:val="auto"/>
              </w:rPr>
              <w:t>Marketable equity securities, available-for-sale</w:t>
            </w:r>
          </w:p>
        </w:tc>
        <w:tc>
          <w:tcPr>
            <w:tcW w:w="3480" w:type="dxa"/>
            <w:vAlign w:val="bottom"/>
            <w:gridSpan w:val="2"/>
          </w:tcPr>
          <w:p>
            <w:pPr>
              <w:jc w:val="right"/>
              <w:spacing w:after="0"/>
              <w:rPr>
                <w:sz w:val="20"/>
                <w:szCs w:val="20"/>
                <w:color w:val="auto"/>
              </w:rPr>
            </w:pPr>
            <w:r>
              <w:rPr>
                <w:rFonts w:ascii="Arial" w:cs="Arial" w:eastAsia="Arial" w:hAnsi="Arial"/>
                <w:sz w:val="18"/>
                <w:szCs w:val="18"/>
                <w:b w:val="1"/>
                <w:bCs w:val="1"/>
                <w:color w:val="auto"/>
              </w:rPr>
              <w:t>3.4</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Marketable equity securities, trading</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640" w:type="dxa"/>
            <w:vAlign w:val="bottom"/>
          </w:tcPr>
          <w:p>
            <w:pPr>
              <w:ind w:left="880"/>
              <w:spacing w:after="0"/>
              <w:rPr>
                <w:sz w:val="20"/>
                <w:szCs w:val="20"/>
                <w:color w:val="auto"/>
              </w:rPr>
            </w:pPr>
            <w:r>
              <w:rPr>
                <w:rFonts w:ascii="Arial" w:cs="Arial" w:eastAsia="Arial" w:hAnsi="Arial"/>
                <w:sz w:val="18"/>
                <w:szCs w:val="18"/>
                <w:color w:val="auto"/>
              </w:rPr>
              <w:t>Mortgage loans</w:t>
            </w:r>
          </w:p>
        </w:tc>
        <w:tc>
          <w:tcPr>
            <w:tcW w:w="34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172.0</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133.3</w:t>
            </w:r>
          </w:p>
        </w:tc>
        <w:tc>
          <w:tcPr>
            <w:tcW w:w="2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Policy loans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640" w:type="dxa"/>
            <w:vAlign w:val="bottom"/>
          </w:tcPr>
          <w:p>
            <w:pPr>
              <w:ind w:left="880"/>
              <w:spacing w:after="0"/>
              <w:rPr>
                <w:sz w:val="20"/>
                <w:szCs w:val="20"/>
                <w:color w:val="auto"/>
              </w:rPr>
            </w:pPr>
            <w:r>
              <w:rPr>
                <w:rFonts w:ascii="Arial" w:cs="Arial" w:eastAsia="Arial" w:hAnsi="Arial"/>
                <w:sz w:val="18"/>
                <w:szCs w:val="18"/>
                <w:color w:val="auto"/>
              </w:rPr>
              <w:t>Investments in limited partnerships</w:t>
            </w:r>
          </w:p>
        </w:tc>
        <w:tc>
          <w:tcPr>
            <w:tcW w:w="37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(19.2)</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(9.7)</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28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440"/>
              <w:spacing w:after="0"/>
              <w:rPr>
                <w:sz w:val="20"/>
                <w:szCs w:val="20"/>
                <w:color w:val="auto"/>
              </w:rPr>
            </w:pPr>
            <w:r>
              <w:rPr>
                <w:rFonts w:ascii="Arial" w:cs="Arial" w:eastAsia="Arial" w:hAnsi="Arial"/>
                <w:sz w:val="18"/>
                <w:szCs w:val="18"/>
                <w:color w:val="auto"/>
              </w:rPr>
              <w:t>Total investment income</w:t>
            </w:r>
          </w:p>
        </w:tc>
        <w:tc>
          <w:tcPr>
            <w:tcW w:w="28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1,303.2</w:t>
            </w:r>
          </w:p>
        </w:tc>
        <w:tc>
          <w:tcPr>
            <w:tcW w:w="2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1,296.3</w:t>
            </w:r>
          </w:p>
        </w:tc>
        <w:tc>
          <w:tcPr>
            <w:tcW w:w="28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1,220.3</w:t>
            </w: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expenses</w:t>
            </w:r>
          </w:p>
        </w:tc>
        <w:tc>
          <w:tcPr>
            <w:tcW w:w="28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(28.0)</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Net investment income</w:t>
            </w:r>
          </w:p>
        </w:tc>
        <w:tc>
          <w:tcPr>
            <w:tcW w:w="28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40" w:type="dxa"/>
            <w:vAlign w:val="bottom"/>
            <w:vMerge w:val="continue"/>
          </w:tcPr>
          <w:p>
            <w:pPr>
              <w:spacing w:after="0"/>
              <w:rPr>
                <w:sz w:val="19"/>
                <w:szCs w:val="19"/>
                <w:color w:val="auto"/>
              </w:rPr>
            </w:pPr>
          </w:p>
        </w:tc>
        <w:tc>
          <w:tcPr>
            <w:tcW w:w="286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1,275.2</w:t>
            </w:r>
          </w:p>
        </w:tc>
        <w:tc>
          <w:tcPr>
            <w:tcW w:w="2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1,270.9</w:t>
            </w:r>
          </w:p>
        </w:tc>
        <w:tc>
          <w:tcPr>
            <w:tcW w:w="28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1,199.4</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860" w:type="dxa"/>
            <w:vAlign w:val="bottom"/>
            <w:vMerge w:val="restart"/>
          </w:tcPr>
          <w:p>
            <w:pPr>
              <w:jc w:val="right"/>
              <w:ind w:right="2032"/>
              <w:spacing w:after="0"/>
              <w:rPr>
                <w:sz w:val="20"/>
                <w:szCs w:val="20"/>
                <w:color w:val="auto"/>
              </w:rPr>
            </w:pPr>
            <w:r>
              <w:rPr>
                <w:rFonts w:ascii="Arial" w:cs="Arial" w:eastAsia="Arial" w:hAnsi="Arial"/>
                <w:sz w:val="18"/>
                <w:szCs w:val="18"/>
                <w:color w:val="auto"/>
              </w:rPr>
              <w:t>133</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net realized investment gains (losses):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2"/>
              </w:rPr>
              <w:t>For the Years Ended December 31,</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3"/>
              </w:rPr>
              <w:t>(As adjusted)</w:t>
            </w:r>
          </w:p>
        </w:tc>
        <w:tc>
          <w:tcPr>
            <w:tcW w:w="86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(As adjusted)</w:t>
            </w:r>
          </w:p>
        </w:tc>
        <w:tc>
          <w:tcPr>
            <w:tcW w:w="10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Pr>
          <w:p>
            <w:pPr>
              <w:ind w:left="640"/>
              <w:spacing w:after="0"/>
              <w:rPr>
                <w:sz w:val="20"/>
                <w:szCs w:val="20"/>
                <w:color w:val="auto"/>
              </w:rPr>
            </w:pPr>
            <w:r>
              <w:rPr>
                <w:rFonts w:ascii="Arial" w:cs="Arial" w:eastAsia="Arial" w:hAnsi="Arial"/>
                <w:sz w:val="18"/>
                <w:szCs w:val="18"/>
                <w:color w:val="auto"/>
              </w:rPr>
              <w:t>Gross gains on sales</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$ 54.3</w:t>
            </w:r>
          </w:p>
        </w:tc>
        <w:tc>
          <w:tcPr>
            <w:tcW w:w="240" w:type="dxa"/>
            <w:vAlign w:val="bottom"/>
          </w:tcPr>
          <w:p>
            <w:pPr>
              <w:spacing w:after="0"/>
              <w:rPr>
                <w:sz w:val="18"/>
                <w:szCs w:val="18"/>
                <w:color w:val="auto"/>
              </w:rPr>
            </w:pP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38.9</w:t>
            </w:r>
          </w:p>
        </w:tc>
        <w:tc>
          <w:tcPr>
            <w:tcW w:w="8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Gross losses on sales</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(27.0)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Pr>
          <w:p>
            <w:pPr>
              <w:ind w:left="640"/>
              <w:spacing w:after="0"/>
              <w:rPr>
                <w:sz w:val="20"/>
                <w:szCs w:val="20"/>
                <w:color w:val="auto"/>
              </w:rPr>
            </w:pPr>
            <w:r>
              <w:rPr>
                <w:rFonts w:ascii="Arial" w:cs="Arial" w:eastAsia="Arial" w:hAnsi="Arial"/>
                <w:sz w:val="18"/>
                <w:szCs w:val="18"/>
                <w:color w:val="auto"/>
              </w:rPr>
              <w:t>Net impairment losses recognized in earnings</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(29.0)</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(1)</w:t>
            </w: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Total fixed maturities</w:t>
            </w:r>
          </w:p>
        </w:tc>
        <w:tc>
          <w:tcPr>
            <w:tcW w:w="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r>
      <w:tr>
        <w:trPr>
          <w:trHeight w:val="217"/>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Marketable equity securities, trading (2)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36.7</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Other invested assets</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(7.8)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DAC/DSI adjustment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223"/>
        </w:trPr>
        <w:tc>
          <w:tcPr>
            <w:tcW w:w="9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Net realized investment gains (losses)</w:t>
            </w: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$ 31.1</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right="180" w:hanging="452"/>
        <w:spacing w:after="0" w:line="255"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This includes net gains on calls and redemptions and changes in the fair value of the Company’s convertible securities held as of period end totaling </w:t>
      </w:r>
      <w:r>
        <w:rPr>
          <w:rFonts w:ascii="Arial" w:cs="Arial" w:eastAsia="Arial" w:hAnsi="Arial"/>
          <w:sz w:val="18"/>
          <w:szCs w:val="18"/>
          <w:b w:val="1"/>
          <w:bCs w:val="1"/>
          <w:color w:val="auto"/>
        </w:rPr>
        <w:t>$0.2,</w:t>
      </w:r>
      <w:r>
        <w:rPr>
          <w:rFonts w:ascii="Arial" w:cs="Arial" w:eastAsia="Arial" w:hAnsi="Arial"/>
          <w:sz w:val="18"/>
          <w:szCs w:val="18"/>
          <w:color w:val="auto"/>
        </w:rPr>
        <w:t xml:space="preserve"> $(10.2), and $5.4 for the years ended December 31, 2012, 2011 and 2010, respectively. As of December 31, 2012 and 2011, the Company’s convertible securities totaled </w:t>
      </w:r>
      <w:r>
        <w:rPr>
          <w:rFonts w:ascii="Arial" w:cs="Arial" w:eastAsia="Arial" w:hAnsi="Arial"/>
          <w:sz w:val="18"/>
          <w:szCs w:val="18"/>
          <w:b w:val="1"/>
          <w:bCs w:val="1"/>
          <w:color w:val="auto"/>
        </w:rPr>
        <w:t>$75.2</w:t>
      </w:r>
      <w:r>
        <w:rPr>
          <w:rFonts w:ascii="Arial" w:cs="Arial" w:eastAsia="Arial" w:hAnsi="Arial"/>
          <w:sz w:val="18"/>
          <w:szCs w:val="18"/>
          <w:color w:val="auto"/>
        </w:rPr>
        <w:t xml:space="preserve"> and $85.4, respectively.</w:t>
      </w:r>
    </w:p>
    <w:p>
      <w:pPr>
        <w:ind w:left="460" w:right="180" w:hanging="452"/>
        <w:spacing w:after="0" w:line="261"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This includes net gains (losses) on changes in the fair value of trading securities held as of period end totaling </w:t>
      </w:r>
      <w:r>
        <w:rPr>
          <w:rFonts w:ascii="Arial" w:cs="Arial" w:eastAsia="Arial" w:hAnsi="Arial"/>
          <w:sz w:val="18"/>
          <w:szCs w:val="18"/>
          <w:b w:val="1"/>
          <w:bCs w:val="1"/>
          <w:color w:val="auto"/>
        </w:rPr>
        <w:t>$37.7</w:t>
      </w:r>
      <w:r>
        <w:rPr>
          <w:rFonts w:ascii="Arial" w:cs="Arial" w:eastAsia="Arial" w:hAnsi="Arial"/>
          <w:sz w:val="18"/>
          <w:szCs w:val="18"/>
          <w:color w:val="auto"/>
        </w:rPr>
        <w:t>, $(7.5) and $34.5 for the years ended December 31, 2012, 2011 and 2010, respectively.</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Other-Than-Temporary Impairments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records OTTI charges in earnings on fixed maturities. The largest write-downs were from investments in the following sectors: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right="740"/>
              <w:spacing w:after="0"/>
              <w:rPr>
                <w:sz w:val="20"/>
                <w:szCs w:val="20"/>
                <w:color w:val="auto"/>
              </w:rPr>
            </w:pPr>
            <w:r>
              <w:rPr>
                <w:rFonts w:ascii="Arial" w:cs="Arial" w:eastAsia="Arial" w:hAnsi="Arial"/>
                <w:sz w:val="14"/>
                <w:szCs w:val="14"/>
                <w:b w:val="1"/>
                <w:bCs w:val="1"/>
                <w:color w:val="auto"/>
                <w:w w:val="86"/>
              </w:rPr>
              <w:t>As of December 31,</w:t>
            </w: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6"/>
              </w:rPr>
              <w:t>% of Total</w:t>
            </w:r>
          </w:p>
        </w:tc>
        <w:tc>
          <w:tcPr>
            <w:tcW w:w="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4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 of Total</w:t>
            </w:r>
          </w:p>
        </w:tc>
        <w:tc>
          <w:tcPr>
            <w:tcW w:w="5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Utilities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14.8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Consumer staples</w:t>
            </w:r>
          </w:p>
        </w:tc>
        <w:tc>
          <w:tcPr>
            <w:tcW w:w="1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7.1</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24.5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4.0</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Materials</w:t>
            </w:r>
          </w:p>
        </w:tc>
        <w:tc>
          <w:tcPr>
            <w:tcW w:w="1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Net impairment losses recognized in earnings</w:t>
            </w: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96"/>
              </w:rPr>
              <w:t>29.0</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14.1</w:t>
            </w:r>
          </w:p>
        </w:tc>
        <w:tc>
          <w:tcPr>
            <w:tcW w:w="1640" w:type="dxa"/>
            <w:vAlign w:val="bottom"/>
            <w:gridSpan w:val="3"/>
          </w:tcPr>
          <w:p>
            <w:pPr>
              <w:jc w:val="right"/>
              <w:ind w:right="44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20.9</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Company’s review of investment securities for OTTI includes both quantitative and qualitative criteria. Quantitative criteria include the length of time and amount that each security is in an unrealized loss position (i.e., is underwater) and, for fixed maturities, whether expected future cash flows indicate that a credit loss exists.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While all securities are monitored for impairment, the Company’s experience indicates that securities for which the cost or amortized cost exceeds fair value by less than 20% do not typically represent a significant risk of impairment and, often, fair values recover over time as the factors that caused the declines improve. If the estimated fair value has declined and remained below cost or amortized cost by 20% or more for at least six months, the Company further analyzes the decrease in fair value to determine whether it is an other-than-temporary decline. To make this determination for each security, the Company considers, among other factors:</w:t>
      </w:r>
    </w:p>
    <w:p>
      <w:pPr>
        <w:spacing w:after="0" w:line="62"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Extent and duration of the decline in fair value below cost or amortized cost;</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financial condition and near-term prospects of the issuer of the security, including any specific events that may affect its operations, earnings potential or compliance with terms and covenants of the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Changes in the financial condition of the security’s underlying collateral;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downgrades of the security by a rating agency;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reduction or elimination of dividends or nonpayment of scheduled interest;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indications that a credit loss has occurred; and</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For fixed maturities, the Company’s intent to sell or whether it is more likely than not the Company will be required to sell the fixed maturity prior to recovery of its amortized cost, considering any regulatory developments, prepayment or call notifications and the Company’s liquidity needs.</w:t>
      </w:r>
    </w:p>
    <w:p>
      <w:pPr>
        <w:spacing w:after="0" w:line="8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For fixed maturities, the Company concludes that an OTTI has occurred if the present value of expected cash flows is less than the amortized cost of the security (i.e., a credit loss exists). In order to determine the amount of the credit loss, the Company calculates the recovery value by discounting the current expectations of future cash flows it will recover. The discount rate is the effective interest rate implicit in the underlying fixed maturity, which is the original effective yield for corporate securities or current effective yield for mortgage-backed securities.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Determination of Credit-Related OTTI on Corporate Securities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To determine the recovery value for a corporate security, the Company performs an analysis related to the underlying issuer including, but not limited to, the following:</w:t>
      </w:r>
    </w:p>
    <w:p>
      <w:pPr>
        <w:spacing w:after="0" w:line="51"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Expected cash flows of the issuer;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Fundamentals of the industry in which the issuer operates;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Fundamentals of the issuer to determine what the Company would recover if the issuer were to file for bankruptcy, compared to the price at which the market is trading;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Expectations regarding defaults and recovery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Changes to the rating of the security by a rating agency;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Additional available market information.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Determination of Credit-Related OTTI on Structured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determine the recovery value for a structured security, including residential mortgage-, commercial mortgage- and other asset-backed securities,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performs an analysis related to the underlying issuer including, but not limited to, the following:</w:t>
      </w:r>
    </w:p>
    <w:p>
      <w:pPr>
        <w:spacing w:after="0" w:line="84"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Expected cash flows from the security, including potential variability of prepayments;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Level of creditworthiness;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Delinquency ratios and loan-to-value ratios;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Average cumulative collateral values, vintage year and level of subordination;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Susceptibility to fair value fluctuations due to changes in the interest rate environment.</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presents the severity and duration of the gross unrealized losses on the Company’s underwater available-for-sale securities, after the recognition of OTTI:</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86"/>
              </w:rPr>
              <w:t>As of December 31,</w:t>
            </w:r>
          </w:p>
        </w:tc>
        <w:tc>
          <w:tcPr>
            <w:tcW w:w="100" w:type="dxa"/>
            <w:vAlign w:val="bottom"/>
          </w:tcPr>
          <w:p>
            <w:pPr>
              <w:spacing w:after="0"/>
              <w:rPr>
                <w:sz w:val="14"/>
                <w:szCs w:val="14"/>
                <w:color w:val="auto"/>
              </w:rPr>
            </w:pPr>
          </w:p>
        </w:tc>
        <w:tc>
          <w:tcPr>
            <w:tcW w:w="17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6"/>
              </w:rPr>
              <w:t>As of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w w:val="88"/>
              </w:rPr>
              <w:t>Gross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Fair</w:t>
            </w:r>
          </w:p>
        </w:tc>
        <w:tc>
          <w:tcPr>
            <w:tcW w:w="4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Fair</w:t>
            </w:r>
          </w:p>
        </w:tc>
        <w:tc>
          <w:tcPr>
            <w:tcW w:w="42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Value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Pr>
          <w:p>
            <w:pPr>
              <w:spacing w:after="0"/>
              <w:rPr>
                <w:sz w:val="14"/>
                <w:szCs w:val="14"/>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Value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Fixed maturities</w:t>
            </w: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Underwater by 20% or more: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Less than 6 consecutive months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204.0</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60"/>
              <w:spacing w:after="0"/>
              <w:rPr>
                <w:sz w:val="20"/>
                <w:szCs w:val="20"/>
                <w:color w:val="auto"/>
              </w:rPr>
            </w:pPr>
            <w:r>
              <w:rPr>
                <w:rFonts w:ascii="Arial" w:cs="Arial" w:eastAsia="Arial" w:hAnsi="Arial"/>
                <w:sz w:val="18"/>
                <w:szCs w:val="18"/>
                <w:color w:val="auto"/>
              </w:rPr>
              <w:t>6 consecutive months or more</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49.6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(21.7)</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56.0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underwater by 20% or more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69.6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(27.0)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All other underwater fixed maturities</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3"/>
              </w:rPr>
              <w:t>1,068.3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(29.7)</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1,758.9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underwater fixed maturities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3"/>
              </w:rPr>
              <w:t>1,137.9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2,018.9</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Marketable equity securities, available-for-sale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8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underwater marketable equity securities, available-for-sale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49.6</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marketable equity securities recorded as available-for-sale underwater by 20% or more as of December 31, 2012 and 2011.</w:t>
      </w:r>
    </w:p>
    <w:p>
      <w:pPr>
        <w:spacing w:after="0" w:line="19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reviewed its available-for-sale investments with unrealized losses as of December 31, 2012 and 2011 in accordance with its impairment policy and determined, after the recognition of OTTI, that the remaining declines in fair value were temporary. The Company did not intend to sell its underwater securities, and it was not more likely than not that the Company will be required to sell the securities before recovery of cost or amortized cost. For fixed maturities, this conclusion is supported by the Company’s spread analyses, cash flow modeling and expected continuation of contractually required principal and interest payments.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the amount of credit-related OTTI recognized in net income where the portion related to other factors was recognized in OCI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7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2012</w:t>
            </w:r>
          </w:p>
        </w:tc>
        <w:tc>
          <w:tcPr>
            <w:tcW w:w="3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2011</w:t>
            </w:r>
          </w:p>
        </w:tc>
        <w:tc>
          <w:tcPr>
            <w:tcW w:w="6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ind w:left="440"/>
              <w:spacing w:after="0"/>
              <w:rPr>
                <w:sz w:val="20"/>
                <w:szCs w:val="20"/>
                <w:color w:val="auto"/>
              </w:rPr>
            </w:pPr>
            <w:r>
              <w:rPr>
                <w:rFonts w:ascii="Arial" w:cs="Arial" w:eastAsia="Arial" w:hAnsi="Arial"/>
                <w:sz w:val="18"/>
                <w:szCs w:val="18"/>
                <w:color w:val="auto"/>
              </w:rPr>
              <w:t>Increases recognized in the current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For which an OTTI was not previously recognized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8360" w:type="dxa"/>
            <w:vAlign w:val="bottom"/>
            <w:gridSpan w:val="2"/>
          </w:tcPr>
          <w:p>
            <w:pPr>
              <w:ind w:left="880"/>
              <w:spacing w:after="0"/>
              <w:rPr>
                <w:sz w:val="20"/>
                <w:szCs w:val="20"/>
                <w:color w:val="auto"/>
              </w:rPr>
            </w:pPr>
            <w:r>
              <w:rPr>
                <w:rFonts w:ascii="Arial" w:cs="Arial" w:eastAsia="Arial" w:hAnsi="Arial"/>
                <w:sz w:val="18"/>
                <w:szCs w:val="18"/>
                <w:color w:val="auto"/>
              </w:rPr>
              <w:t>For which an OTTI was previously recognized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Decreases attributable to:</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ind w:left="880"/>
              <w:spacing w:after="0"/>
              <w:rPr>
                <w:sz w:val="20"/>
                <w:szCs w:val="20"/>
                <w:color w:val="auto"/>
              </w:rPr>
            </w:pPr>
            <w:r>
              <w:rPr>
                <w:rFonts w:ascii="Arial" w:cs="Arial" w:eastAsia="Arial" w:hAnsi="Arial"/>
                <w:sz w:val="18"/>
                <w:szCs w:val="18"/>
                <w:color w:val="auto"/>
              </w:rPr>
              <w:t>Securities sold or paid down during the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8"/>
        </w:trPr>
        <w:tc>
          <w:tcPr>
            <w:tcW w:w="83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8"/>
              </w:rPr>
              <w:t>Previously recognized credit losses on securities impaired during the period due to a change 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intent to sell (1)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Balance, end of period</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6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36.2</w:t>
            </w:r>
          </w:p>
        </w:tc>
        <w:tc>
          <w:tcPr>
            <w:tcW w:w="3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32.5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center"/>
        <w:ind w:left="5580" w:right="780" w:hanging="5572"/>
        <w:spacing w:after="0" w:line="440" w:lineRule="auto"/>
        <w:tabs>
          <w:tab w:leader="none" w:pos="451"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circumstances where the Company determined in the period that it intended to sell the security prior to recovery of its amortized cost. 136</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Derivatives are instruments whose values are derived from underlying instruments, indices or rates; have a notional amount; and can be net settled. This may include derivatives that are embedded in financial instruments or in certain existing assets or liabilities. The Company is exposed to various risks relating to its ongoing business operations, primarily equity market risk, interest rate risk, and foreign currency exchange risk. The Company uses a variety of strategies to manage these risks, including the use of derivative instruments, primarily options, interest rate swaps and foreign currency forwards. The Company has established policies for managing each of these risks, including prohibitions on derivatives market-making and other speculative derivatives activities. See Note 2 for a description of the Company’s accounting policies for derivative financial instruments.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Market Contracts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Company uses call options based on the S&amp;P 500</w:t>
      </w:r>
      <w:r>
        <w:rPr>
          <w:rFonts w:ascii="Arial" w:cs="Arial" w:eastAsia="Arial" w:hAnsi="Arial"/>
          <w:sz w:val="11"/>
          <w:szCs w:val="11"/>
          <w:color w:val="auto"/>
        </w:rPr>
        <w:t>®</w:t>
      </w:r>
      <w:r>
        <w:rPr>
          <w:rFonts w:ascii="Arial" w:cs="Arial" w:eastAsia="Arial" w:hAnsi="Arial"/>
          <w:sz w:val="18"/>
          <w:szCs w:val="18"/>
          <w:color w:val="auto"/>
        </w:rPr>
        <w:t xml:space="preserve"> or a commodities-based index as part of our equity market risk management strategy. The Company offers a fixed indexed annuity contract that permits the holder to elect an interest rate return or an equity market component, where interest credited to the contract is linked to the performance of the S&amp;P 500 or a commodities-based index. The Company purchases call options that are correlated to the portfolio allocation decisions of the contract holders, such that the Company is economically hedged with respect to equity returns for the current reset period. These derivatives do not qualify for hedge accounting.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Contracts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uses interest rate swaps as part of its interest rate risk management strategy. In an interest rate swap, the Company agrees with other parties to exchange, at specified intervals, the difference between floating-rate and fixed-rate interest amounts calculated by reference to an agreed upon notional principal amount. The Company primarily uses interest rate swaps to synthetically convert variable rate fixed maturities to fixed rate securities. These derivatives are designated and qualify as cash flow hedges.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Contracts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uses foreign currency swaps to reduce risks from changes in currency exchange rates with respect to investments denominated in foreign currencies that the Company holds. The Company agrees with other parties to exchange, at specified intervals, the difference between one currency and another at an exchange rate and calculated by reference to an agreed upon principal amount. Generally, the principal amount of each currency is exchanged at the maturity of the currency swap by each party. These derivatives are designated and qualify as cash flow hedges.</w:t>
      </w:r>
    </w:p>
    <w:p>
      <w:pPr>
        <w:spacing w:after="0" w:line="11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uses foreign currency forwards as part of its foreign currency risk management strategy. The Company is invested in foreign currency denominated REITs and fixed maturities. In a foreign currency forward transaction, the Company agrees with other parties to deliver a specified amount of an identified currency at a specified future date. The price is agreed upon at the time of the contract and payment for such a contract is made at the specified future date. In general, the Company is selling a foreign currency and receiving U.S. dollars. These derivatives are not designated for hedge accounting.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Embedded Derivatives</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Company offers a fixed indexed annuity contract that permits the contract holder to elect an interest rate return or an equity market component, where interest credited to the contract is linked to the performance of the S&amp;P 500 or a commodities-based index. Contract holders may elect to rebalance index options at renewal dates annually. As of each renewal date, the Company has the opportunity to re-price the indexed component by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establishing participation rates, subject to minimum guarantees. These contracts contain an embedded derivative instrument that is bifurcated from the host contract for measurement purposes because it possesses economic characteristics that are not clearly and closely related to the economic characteristics of the host contract. The embedded derivative, which is reported with the host instrument in the consolidated balance sheets, is carried at fair value with changes in fair value recognized in net income.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Exposure</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Company’s risk of loss is typically limited to the fair value of our derivative instruments and not to the notional or contractual amounts of these derivatives. The following table sets forth the Company’s positions in derivative instruments: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w w:val="88"/>
              </w:rPr>
              <w:t>As of December 31, 2012</w:t>
            </w:r>
          </w:p>
        </w:tc>
        <w:tc>
          <w:tcPr>
            <w:tcW w:w="3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w w:val="89"/>
              </w:rPr>
              <w:t>As of December 31, 2011</w:t>
            </w: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Notional</w:t>
            </w: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4"/>
          </w:tcPr>
          <w:p>
            <w:pPr>
              <w:ind w:left="280"/>
              <w:spacing w:after="0" w:line="142" w:lineRule="exact"/>
              <w:rPr>
                <w:sz w:val="20"/>
                <w:szCs w:val="20"/>
                <w:color w:val="auto"/>
              </w:rPr>
            </w:pPr>
            <w:r>
              <w:rPr>
                <w:rFonts w:ascii="Arial" w:cs="Arial" w:eastAsia="Arial" w:hAnsi="Arial"/>
                <w:sz w:val="14"/>
                <w:szCs w:val="14"/>
                <w:b w:val="1"/>
                <w:bCs w:val="1"/>
                <w:color w:val="auto"/>
                <w:w w:val="92"/>
              </w:rPr>
              <w:t>Fair Value</w:t>
            </w:r>
          </w:p>
        </w:tc>
        <w:tc>
          <w:tcPr>
            <w:tcW w:w="3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Notional</w:t>
            </w: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4"/>
          </w:tcPr>
          <w:p>
            <w:pPr>
              <w:ind w:left="300"/>
              <w:spacing w:after="0" w:line="142" w:lineRule="exact"/>
              <w:rPr>
                <w:sz w:val="20"/>
                <w:szCs w:val="20"/>
                <w:color w:val="auto"/>
              </w:rPr>
            </w:pPr>
            <w:r>
              <w:rPr>
                <w:rFonts w:ascii="Arial" w:cs="Arial" w:eastAsia="Arial" w:hAnsi="Arial"/>
                <w:sz w:val="14"/>
                <w:szCs w:val="14"/>
                <w:b w:val="1"/>
                <w:bCs w:val="1"/>
                <w:color w:val="auto"/>
                <w:w w:val="95"/>
              </w:rPr>
              <w:t>Fair Value</w:t>
            </w:r>
          </w:p>
        </w:tc>
        <w:tc>
          <w:tcPr>
            <w:tcW w:w="3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360" w:type="dxa"/>
            <w:vAlign w:val="bottom"/>
          </w:tcPr>
          <w:p>
            <w:pPr>
              <w:spacing w:after="0"/>
              <w:rPr>
                <w:sz w:val="12"/>
                <w:szCs w:val="12"/>
                <w:color w:val="auto"/>
              </w:rPr>
            </w:pPr>
          </w:p>
        </w:tc>
        <w:tc>
          <w:tcPr>
            <w:tcW w:w="6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Liabilities</w:t>
            </w:r>
          </w:p>
        </w:tc>
        <w:tc>
          <w:tcPr>
            <w:tcW w:w="38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360" w:type="dxa"/>
            <w:vAlign w:val="bottom"/>
          </w:tcPr>
          <w:p>
            <w:pPr>
              <w:spacing w:after="0"/>
              <w:rPr>
                <w:sz w:val="12"/>
                <w:szCs w:val="12"/>
                <w:color w:val="auto"/>
              </w:rPr>
            </w:pPr>
          </w:p>
        </w:tc>
        <w:tc>
          <w:tcPr>
            <w:tcW w:w="6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Liabilities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Derivatives designated as hedges</w:t>
            </w: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Cash flow hedges: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rate swaps</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9.8</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860"/>
              <w:spacing w:after="0"/>
              <w:rPr>
                <w:sz w:val="20"/>
                <w:szCs w:val="20"/>
                <w:color w:val="auto"/>
              </w:rPr>
            </w:pPr>
            <w:r>
              <w:rPr>
                <w:rFonts w:ascii="Arial" w:cs="Arial" w:eastAsia="Arial" w:hAnsi="Arial"/>
                <w:sz w:val="18"/>
                <w:szCs w:val="18"/>
                <w:color w:val="auto"/>
              </w:rPr>
              <w:t>Foreign currency swaps</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112.8</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derivatives designated as hedges</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209.9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9.8</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index options</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213.7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5.0</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860"/>
              <w:spacing w:after="0"/>
              <w:rPr>
                <w:sz w:val="20"/>
                <w:szCs w:val="20"/>
                <w:color w:val="auto"/>
              </w:rPr>
            </w:pPr>
            <w:r>
              <w:rPr>
                <w:rFonts w:ascii="Arial" w:cs="Arial" w:eastAsia="Arial" w:hAnsi="Arial"/>
                <w:sz w:val="18"/>
                <w:szCs w:val="18"/>
                <w:color w:val="auto"/>
              </w:rPr>
              <w:t>Foreign currency forwards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125.2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Embedded derivatives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13.2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420"/>
              <w:spacing w:after="0"/>
              <w:rPr>
                <w:sz w:val="20"/>
                <w:szCs w:val="20"/>
                <w:color w:val="auto"/>
              </w:rPr>
            </w:pPr>
            <w:r>
              <w:rPr>
                <w:rFonts w:ascii="Arial" w:cs="Arial" w:eastAsia="Arial" w:hAnsi="Arial"/>
                <w:sz w:val="18"/>
                <w:szCs w:val="18"/>
                <w:color w:val="auto"/>
              </w:rPr>
              <w:t>Total derivatives not designated as hedges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338.9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1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96"/>
              </w:rPr>
              <w:t>13.9</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548.8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15.3</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18.2</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158.9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10.5</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components of gain (loss) recognized into OCI on derivatives that qualify as cash flow hedges: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7"/>
          </w:tcPr>
          <w:p>
            <w:pPr>
              <w:jc w:val="center"/>
              <w:ind w:left="222"/>
              <w:spacing w:after="0"/>
              <w:rPr>
                <w:sz w:val="20"/>
                <w:szCs w:val="20"/>
                <w:color w:val="auto"/>
              </w:rPr>
            </w:pPr>
            <w:r>
              <w:rPr>
                <w:rFonts w:ascii="Arial" w:cs="Arial" w:eastAsia="Arial" w:hAnsi="Arial"/>
                <w:sz w:val="14"/>
                <w:szCs w:val="14"/>
                <w:b w:val="1"/>
                <w:bCs w:val="1"/>
                <w:color w:val="auto"/>
                <w:w w:val="87"/>
              </w:rPr>
              <w:t>Gain (Loss) Recognized in OCI</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ind w:left="180"/>
              <w:spacing w:after="0"/>
              <w:rPr>
                <w:sz w:val="20"/>
                <w:szCs w:val="20"/>
                <w:color w:val="auto"/>
              </w:rPr>
            </w:pPr>
            <w:r>
              <w:rPr>
                <w:rFonts w:ascii="Arial" w:cs="Arial" w:eastAsia="Arial" w:hAnsi="Arial"/>
                <w:sz w:val="14"/>
                <w:szCs w:val="14"/>
                <w:b w:val="1"/>
                <w:bCs w:val="1"/>
                <w:color w:val="auto"/>
                <w:w w:val="87"/>
              </w:rPr>
              <w:t>Gain (Loss) Reclassified from AOCI</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center"/>
              <w:ind w:right="37"/>
              <w:spacing w:after="0"/>
              <w:rPr>
                <w:sz w:val="20"/>
                <w:szCs w:val="20"/>
                <w:color w:val="auto"/>
              </w:rPr>
            </w:pPr>
            <w:r>
              <w:rPr>
                <w:rFonts w:ascii="Arial" w:cs="Arial" w:eastAsia="Arial" w:hAnsi="Arial"/>
                <w:sz w:val="14"/>
                <w:szCs w:val="14"/>
                <w:b w:val="1"/>
                <w:bCs w:val="1"/>
                <w:color w:val="auto"/>
                <w:w w:val="86"/>
              </w:rPr>
              <w:t>For the Years Ended December 31,</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w w:val="88"/>
              </w:rPr>
              <w:t>For the Years Ended December 31,</w:t>
            </w: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w w:val="89"/>
              </w:rPr>
              <w:t>2012</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2010</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2011</w:t>
            </w:r>
          </w:p>
        </w:tc>
        <w:tc>
          <w:tcPr>
            <w:tcW w:w="1060" w:type="dxa"/>
            <w:vAlign w:val="bottom"/>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rate swaps</w:t>
            </w:r>
          </w:p>
        </w:tc>
        <w:tc>
          <w:tcPr>
            <w:tcW w:w="1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2.2</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Foreign currency swaps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8"/>
                <w:szCs w:val="18"/>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2.2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8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268" w:lineRule="auto"/>
        <w:rPr>
          <w:sz w:val="20"/>
          <w:szCs w:val="20"/>
          <w:color w:val="auto"/>
        </w:rPr>
      </w:pPr>
      <w:r>
        <w:rPr>
          <w:rFonts w:ascii="Arial" w:cs="Arial" w:eastAsia="Arial" w:hAnsi="Arial"/>
          <w:sz w:val="18"/>
          <w:szCs w:val="18"/>
          <w:color w:val="auto"/>
        </w:rPr>
        <w:t>Amounts reclassified into net income were recorded in net investment income on the consolidated statements of income. The Company had no gain (loss) from the ineffective portion of cash flow hedging relationships for the years ended December 31, 2012, 2011 and 2010.</w:t>
      </w:r>
    </w:p>
    <w:p>
      <w:pPr>
        <w:spacing w:after="0" w:line="132" w:lineRule="exact"/>
        <w:rPr>
          <w:sz w:val="20"/>
          <w:szCs w:val="20"/>
          <w:color w:val="auto"/>
        </w:rPr>
      </w:pPr>
    </w:p>
    <w:p>
      <w:pPr>
        <w:jc w:val="both"/>
        <w:ind w:right="140" w:firstLine="456"/>
        <w:spacing w:after="0" w:line="332" w:lineRule="auto"/>
        <w:rPr>
          <w:sz w:val="20"/>
          <w:szCs w:val="20"/>
          <w:color w:val="auto"/>
        </w:rPr>
      </w:pPr>
      <w:r>
        <w:rPr>
          <w:rFonts w:ascii="Arial" w:cs="Arial" w:eastAsia="Arial" w:hAnsi="Arial"/>
          <w:sz w:val="16"/>
          <w:szCs w:val="16"/>
          <w:color w:val="auto"/>
        </w:rPr>
        <w:t>The Company expects to reclassify net gains of $2.2 from AOCI into net income in the next 12 months, which includes net deferrals on both discontinued hedges and on periodic settlements of active hedges. Actual amounts may vary from this amount as a result of market conditions.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effect of derivatives not designated as hedges on the consolidated income statements: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6"/>
              </w:rPr>
              <w:t>Gain (Loss) Recognized in Income</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6"/>
              </w:rPr>
              <w:t>For the Years Ended December 31,</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2012</w:t>
            </w: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2011</w:t>
            </w:r>
          </w:p>
        </w:tc>
        <w:tc>
          <w:tcPr>
            <w:tcW w:w="7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Equity index options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440"/>
              <w:spacing w:after="0"/>
              <w:rPr>
                <w:sz w:val="20"/>
                <w:szCs w:val="20"/>
                <w:color w:val="auto"/>
              </w:rPr>
            </w:pPr>
            <w:r>
              <w:rPr>
                <w:rFonts w:ascii="Arial" w:cs="Arial" w:eastAsia="Arial" w:hAnsi="Arial"/>
                <w:sz w:val="18"/>
                <w:szCs w:val="18"/>
                <w:color w:val="auto"/>
              </w:rPr>
              <w:t>Foreign currency forwards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b w:val="1"/>
                <w:bCs w:val="1"/>
                <w:color w:val="auto"/>
              </w:rPr>
              <w:t>(0.4)</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Embedded derivatives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6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Collateral Arrangements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Company enters into various collateral arrangements in connection with its derivative instruments, which require both the pledging and accepting of collateral. Based on the net position at the end of each day, the Company determines collateral amounts required to be posted or received with the same counterparty under the same master netting agreement.</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December 31, 2012 and 2011, the Company had no pledged collateral. As of December 31, 2012 and 2011, the Company received collateral of $14.0 and $10.2, respectively, which was included in cash and cash equivalents in the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Mortgage Loans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originates and manages a portfolio of mortgage loans which are secured by first-mortgage liens on income-producing commercial real estate, primarily in the retail, industrial and office building sectors. All loans are underwritten consistently using standards based on loan-to-value (LTV) ratios and debt-service coverage ratios (DSCR) as well as detailed market, property and borrower analyses. The Company’s mortgage loan portfolio is considered a single portfolio segment and class of financing receivables, which is consistent with how the Company assesses and monitors the risk and performance of the portfolio. A large majority of these loans have personal guarantees, and all loans are inspected and evaluated annually. The Company’s mortgage loan portfolio is diversified by geographic region, loan size and scheduled maturities. As of December 31, 2012, 28.4% of our commercial mortgage loans were located in California, primarily in the Los Angeles area, 11.3% were located in Texas and 10.0% were located in Washington.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Allowance for Mortgage Loans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allowance for losses on mortgage loans provides for the risk of credit loss inherent in the lending process. The allowance includes a portfolio reserve for probable incurred but not specifically identified losses and, as needed, specific reserves for impaired loans. The allowance for losses on mortgage loans is evaluated as of each reporting period and adjustments are recorded when appropriate. To assist in its evaluation of the allowance for loan losses, the Company utilizes the following credit quality indicators to categorize its loans as lower, medium or higher risk:</w:t>
      </w:r>
    </w:p>
    <w:p>
      <w:pPr>
        <w:spacing w:after="0" w:line="32"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Lower Risk Loans </w:t>
      </w:r>
      <w:r>
        <w:rPr>
          <w:rFonts w:ascii="Arial" w:cs="Arial" w:eastAsia="Arial" w:hAnsi="Arial"/>
          <w:sz w:val="18"/>
          <w:szCs w:val="18"/>
          <w:color w:val="auto"/>
        </w:rPr>
        <w:t>– Loans with an LTV ratio of less than 65%, and a DSCR of greater than 1.50.</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Medium Risk Loans </w:t>
      </w:r>
      <w:r>
        <w:rPr>
          <w:rFonts w:ascii="Arial" w:cs="Arial" w:eastAsia="Arial" w:hAnsi="Arial"/>
          <w:sz w:val="18"/>
          <w:szCs w:val="18"/>
          <w:color w:val="auto"/>
        </w:rPr>
        <w:t>– Loans that have an LTV ratio of less than 65% but a DSCR below 1.50, or loans with an LTV ratio between 65% and 80%, and</w:t>
      </w:r>
      <w:r>
        <w:rPr>
          <w:rFonts w:ascii="Arial" w:cs="Arial" w:eastAsia="Arial" w:hAnsi="Arial"/>
          <w:sz w:val="18"/>
          <w:szCs w:val="18"/>
          <w:i w:val="1"/>
          <w:iCs w:val="1"/>
          <w:color w:val="auto"/>
        </w:rPr>
        <w:t xml:space="preserve"> </w:t>
      </w:r>
      <w:r>
        <w:rPr>
          <w:rFonts w:ascii="Arial" w:cs="Arial" w:eastAsia="Arial" w:hAnsi="Arial"/>
          <w:sz w:val="18"/>
          <w:szCs w:val="18"/>
          <w:color w:val="auto"/>
        </w:rPr>
        <w:t>a DSCR of greater than 1.50.</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Higher Risk Loans – </w:t>
      </w:r>
      <w:r>
        <w:rPr>
          <w:rFonts w:ascii="Arial" w:cs="Arial" w:eastAsia="Arial" w:hAnsi="Arial"/>
          <w:sz w:val="18"/>
          <w:szCs w:val="18"/>
          <w:color w:val="auto"/>
        </w:rPr>
        <w:t>Loans with an LTV ratio greater than 80%, or loans which have an LTV ratio between 65% and 80%, and a DSCR of less than</w:t>
      </w:r>
      <w:r>
        <w:rPr>
          <w:rFonts w:ascii="Arial" w:cs="Arial" w:eastAsia="Arial" w:hAnsi="Arial"/>
          <w:sz w:val="18"/>
          <w:szCs w:val="18"/>
          <w:i w:val="1"/>
          <w:iCs w:val="1"/>
          <w:color w:val="auto"/>
        </w:rPr>
        <w:t xml:space="preserve"> </w:t>
      </w:r>
      <w:r>
        <w:rPr>
          <w:rFonts w:ascii="Arial" w:cs="Arial" w:eastAsia="Arial" w:hAnsi="Arial"/>
          <w:sz w:val="18"/>
          <w:szCs w:val="18"/>
          <w:color w:val="auto"/>
        </w:rPr>
        <w:t>1.50.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Specific reserves are established for impaired loans, for which the Company considers it probable that amounts due according to the terms of the loan agreement will not be collected, and for loans with terms modified in a troubled debt restructuring.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Company’s mortgage loans by risk category: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34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86"/>
              </w:rPr>
              <w:t>As of December 31,</w:t>
            </w:r>
          </w:p>
        </w:tc>
        <w:tc>
          <w:tcPr>
            <w:tcW w:w="18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As of 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83"/>
              </w:rPr>
              <w:t>2012</w:t>
            </w:r>
          </w:p>
        </w:tc>
        <w:tc>
          <w:tcPr>
            <w:tcW w:w="4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76"/>
              </w:rPr>
              <w:t>2011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68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w w:val="97"/>
              </w:rPr>
              <w:t>Carrying</w:t>
            </w:r>
          </w:p>
        </w:tc>
        <w:tc>
          <w:tcPr>
            <w:tcW w:w="5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 of</w:t>
            </w:r>
          </w:p>
        </w:tc>
        <w:tc>
          <w:tcPr>
            <w:tcW w:w="700" w:type="dxa"/>
            <w:vAlign w:val="bottom"/>
          </w:tcPr>
          <w:p>
            <w:pPr>
              <w:spacing w:after="0"/>
              <w:rPr>
                <w:sz w:val="11"/>
                <w:szCs w:val="11"/>
                <w:color w:val="auto"/>
              </w:rPr>
            </w:pPr>
          </w:p>
        </w:tc>
        <w:tc>
          <w:tcPr>
            <w:tcW w:w="680" w:type="dxa"/>
            <w:vAlign w:val="bottom"/>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w w:val="93"/>
              </w:rPr>
              <w:t>Carrying</w:t>
            </w:r>
          </w:p>
        </w:tc>
        <w:tc>
          <w:tcPr>
            <w:tcW w:w="500" w:type="dxa"/>
            <w:vAlign w:val="bottom"/>
          </w:tcPr>
          <w:p>
            <w:pPr>
              <w:spacing w:after="0"/>
              <w:rPr>
                <w:sz w:val="11"/>
                <w:szCs w:val="11"/>
                <w:color w:val="auto"/>
              </w:rPr>
            </w:pPr>
          </w:p>
        </w:tc>
        <w:tc>
          <w:tcPr>
            <w:tcW w:w="460" w:type="dxa"/>
            <w:vAlign w:val="bottom"/>
          </w:tcPr>
          <w:p>
            <w:pPr>
              <w:jc w:val="right"/>
              <w:ind w:right="26"/>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6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7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Lower Risk</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$1,858.4</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60.0%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$1,395.5</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rPr>
              <w:t>Medium Risk</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664.1</w:t>
            </w:r>
          </w:p>
        </w:tc>
        <w:tc>
          <w:tcPr>
            <w:tcW w:w="60" w:type="dxa"/>
            <w:vAlign w:val="bottom"/>
          </w:tcPr>
          <w:p>
            <w:pPr>
              <w:spacing w:after="0"/>
              <w:rPr>
                <w:sz w:val="18"/>
                <w:szCs w:val="18"/>
                <w:color w:val="auto"/>
              </w:rPr>
            </w:pPr>
          </w:p>
        </w:tc>
        <w:tc>
          <w:tcPr>
            <w:tcW w:w="166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21.5</w:t>
            </w:r>
          </w:p>
        </w:tc>
        <w:tc>
          <w:tcPr>
            <w:tcW w:w="620" w:type="dxa"/>
            <w:vAlign w:val="bottom"/>
          </w:tcPr>
          <w:p>
            <w:pPr>
              <w:jc w:val="right"/>
              <w:spacing w:after="0"/>
              <w:rPr>
                <w:sz w:val="20"/>
                <w:szCs w:val="20"/>
                <w:color w:val="auto"/>
              </w:rPr>
            </w:pPr>
            <w:r>
              <w:rPr>
                <w:rFonts w:ascii="Arial" w:cs="Arial" w:eastAsia="Arial" w:hAnsi="Arial"/>
                <w:sz w:val="18"/>
                <w:szCs w:val="18"/>
                <w:color w:val="auto"/>
              </w:rPr>
              <w:t>617.0</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Higher Risk</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573.9</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18.5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320" w:type="dxa"/>
            <w:vAlign w:val="bottom"/>
            <w:gridSpan w:val="2"/>
            <w:vMerge w:val="restart"/>
          </w:tcPr>
          <w:p>
            <w:pPr>
              <w:ind w:left="440"/>
              <w:spacing w:after="0"/>
              <w:rPr>
                <w:sz w:val="20"/>
                <w:szCs w:val="20"/>
                <w:color w:val="auto"/>
              </w:rPr>
            </w:pPr>
            <w:r>
              <w:rPr>
                <w:rFonts w:ascii="Arial" w:cs="Arial" w:eastAsia="Arial" w:hAnsi="Arial"/>
                <w:sz w:val="18"/>
                <w:szCs w:val="18"/>
                <w:color w:val="auto"/>
              </w:rPr>
              <w:t>Credit quality indicator total</w:t>
            </w: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632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3,096.4</w:t>
            </w:r>
          </w:p>
        </w:tc>
        <w:tc>
          <w:tcPr>
            <w:tcW w:w="6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100.0%</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2,517.2</w:t>
            </w:r>
          </w:p>
        </w:tc>
        <w:tc>
          <w:tcPr>
            <w:tcW w:w="6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Loans specifically evaluated for impairment (1)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320" w:type="dxa"/>
            <w:vAlign w:val="bottom"/>
            <w:gridSpan w:val="2"/>
          </w:tcPr>
          <w:p>
            <w:pPr>
              <w:ind w:left="440"/>
              <w:spacing w:after="0"/>
              <w:rPr>
                <w:sz w:val="20"/>
                <w:szCs w:val="20"/>
                <w:color w:val="auto"/>
              </w:rPr>
            </w:pPr>
            <w:r>
              <w:rPr>
                <w:rFonts w:ascii="Arial" w:cs="Arial" w:eastAsia="Arial" w:hAnsi="Arial"/>
                <w:sz w:val="18"/>
                <w:szCs w:val="18"/>
                <w:color w:val="auto"/>
              </w:rPr>
              <w:t>Other (2)</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(6.8)</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3,094.4</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2,517.6</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As of December 31, 2012 and 2011, reserve amounts of </w:t>
      </w:r>
      <w:r>
        <w:rPr>
          <w:rFonts w:ascii="Arial" w:cs="Arial" w:eastAsia="Arial" w:hAnsi="Arial"/>
          <w:sz w:val="16"/>
          <w:szCs w:val="16"/>
          <w:b w:val="1"/>
          <w:bCs w:val="1"/>
          <w:color w:val="auto"/>
        </w:rPr>
        <w:t>$0.0</w:t>
      </w:r>
      <w:r>
        <w:rPr>
          <w:rFonts w:ascii="Arial" w:cs="Arial" w:eastAsia="Arial" w:hAnsi="Arial"/>
          <w:sz w:val="16"/>
          <w:szCs w:val="16"/>
          <w:color w:val="auto"/>
        </w:rPr>
        <w:t xml:space="preserve"> and $0.3, respectively, were established for loans specifically evaluated for impairment.</w:t>
      </w:r>
    </w:p>
    <w:p>
      <w:pPr>
        <w:spacing w:after="0" w:line="44" w:lineRule="exact"/>
        <w:rPr>
          <w:rFonts w:ascii="Arial" w:cs="Arial" w:eastAsia="Arial" w:hAnsi="Arial"/>
          <w:sz w:val="16"/>
          <w:szCs w:val="16"/>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the allowance for loan losses and deferred fees and costs.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developing its portfolio reserve for incurred but not specifically identified losses, the Company evaluates loans by risk category as well as its past loan experience, commercial real estate market conditions, and third party data for expected losses on loans with similar LTV ratios and DSCRs. Each loan’s LTV ratio and DSCR is updated annually, primarily during the third quarter.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activity in the Company’s allowance for mortgage loan losses, which includes portfolio and specific reserves: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4"/>
              </w:rPr>
              <w:t>As of December 31,</w:t>
            </w: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820" w:type="dxa"/>
            <w:vAlign w:val="bottom"/>
            <w:gridSpan w:val="2"/>
          </w:tcPr>
          <w:p>
            <w:pPr>
              <w:jc w:val="center"/>
              <w:ind w:left="362"/>
              <w:spacing w:after="0" w:line="142" w:lineRule="exact"/>
              <w:rPr>
                <w:sz w:val="20"/>
                <w:szCs w:val="20"/>
                <w:color w:val="auto"/>
              </w:rPr>
            </w:pPr>
            <w:r>
              <w:rPr>
                <w:rFonts w:ascii="Arial" w:cs="Arial" w:eastAsia="Arial" w:hAnsi="Arial"/>
                <w:sz w:val="14"/>
                <w:szCs w:val="14"/>
                <w:b w:val="1"/>
                <w:bCs w:val="1"/>
                <w:color w:val="auto"/>
                <w:w w:val="83"/>
              </w:rPr>
              <w:t>2011</w:t>
            </w:r>
          </w:p>
        </w:tc>
        <w:tc>
          <w:tcPr>
            <w:tcW w:w="52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5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Allowance at beginning of period</w:t>
            </w:r>
          </w:p>
        </w:tc>
        <w:tc>
          <w:tcPr>
            <w:tcW w:w="17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$ 7.4</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$ 7.1</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Provision for specific loans</w:t>
            </w:r>
          </w:p>
        </w:tc>
        <w:tc>
          <w:tcPr>
            <w:tcW w:w="2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loans not specifically identified</w:t>
            </w:r>
          </w:p>
        </w:tc>
        <w:tc>
          <w:tcPr>
            <w:tcW w:w="2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0.8</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8"/>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Charge-offs</w:t>
            </w:r>
          </w:p>
        </w:tc>
        <w:tc>
          <w:tcPr>
            <w:tcW w:w="17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w:t>
            </w:r>
          </w:p>
        </w:tc>
        <w:tc>
          <w:tcPr>
            <w:tcW w:w="440" w:type="dxa"/>
            <w:vAlign w:val="bottom"/>
          </w:tcPr>
          <w:p>
            <w:pPr>
              <w:spacing w:after="0"/>
              <w:rPr>
                <w:sz w:val="18"/>
                <w:szCs w:val="18"/>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r>
      <w:tr>
        <w:trPr>
          <w:trHeight w:val="27"/>
        </w:trPr>
        <w:tc>
          <w:tcPr>
            <w:tcW w:w="5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Allowance at end of period</w:t>
            </w:r>
          </w:p>
        </w:tc>
        <w:tc>
          <w:tcPr>
            <w:tcW w:w="1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$ 7.9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w:t>
            </w:r>
          </w:p>
        </w:tc>
        <w:tc>
          <w:tcPr>
            <w:tcW w:w="5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$ 7.1</w:t>
            </w:r>
          </w:p>
        </w:tc>
      </w:tr>
      <w:tr>
        <w:trPr>
          <w:trHeight w:val="20"/>
        </w:trPr>
        <w:tc>
          <w:tcPr>
            <w:tcW w:w="5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Non-performing loans, defined generally as those in default, close to being in default or more than 90 days past due, are placed on non-accrual status. As of December 31, 2012, one loan with an outstanding principal balance of $3.7 was considered in default and assessed in our provision for specific loans; no other loans were considered non-performing at December 31, 2012. As of December 31, 2011 and 2010, no loans were considered non-performing.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determines the fair value of its financial instruments based on the fair value hierarchy, which requires an entity to maximize its use of observable inputs and minimize the use of unobservable inputs when measuring fair value. The Company has categorized its financial instruments into the three-level hierarchy, which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gives the highest priority to quoted prices in active markets for identical assets or liabilities (Level 1) and the lowest priority to unobservable inputs (Level 3). The level within which a fair value measurement falls is determined based on the lowest-level input that is significant to the fair value measurement. The Company’s financial assets recorded at fair value on the consolidated balance sheets and financial instruments not carried at fair value, but disclosed at fair value are categorized as follows:</w:t>
      </w:r>
    </w:p>
    <w:p>
      <w:pPr>
        <w:spacing w:after="0" w:line="62" w:lineRule="exact"/>
        <w:rPr>
          <w:sz w:val="20"/>
          <w:szCs w:val="20"/>
          <w:color w:val="auto"/>
        </w:rPr>
      </w:pPr>
    </w:p>
    <w:p>
      <w:pPr>
        <w:ind w:left="900" w:right="180" w:hanging="325"/>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for identical instruments. This level primarily consists of exchange-traded marketable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mutual fund investments.</w:t>
      </w:r>
    </w:p>
    <w:p>
      <w:pPr>
        <w:spacing w:after="0" w:line="50" w:lineRule="exact"/>
        <w:rPr>
          <w:rFonts w:ascii="Arial" w:cs="Arial" w:eastAsia="Arial" w:hAnsi="Arial"/>
          <w:sz w:val="18"/>
          <w:szCs w:val="18"/>
          <w:color w:val="auto"/>
        </w:rPr>
      </w:pPr>
    </w:p>
    <w:p>
      <w:pPr>
        <w:ind w:left="900" w:right="40" w:hanging="325"/>
        <w:spacing w:after="0" w:line="255"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 are not active</w:t>
      </w:r>
      <w:r>
        <w:rPr>
          <w:rFonts w:ascii="Arial" w:cs="Arial" w:eastAsia="Arial" w:hAnsi="Arial"/>
          <w:sz w:val="18"/>
          <w:szCs w:val="18"/>
          <w:i w:val="1"/>
          <w:iCs w:val="1"/>
          <w:color w:val="auto"/>
        </w:rPr>
        <w:t xml:space="preserve"> </w:t>
      </w:r>
      <w:r>
        <w:rPr>
          <w:rFonts w:ascii="Arial" w:cs="Arial" w:eastAsia="Arial" w:hAnsi="Arial"/>
          <w:sz w:val="18"/>
          <w:szCs w:val="18"/>
          <w:color w:val="auto"/>
        </w:rPr>
        <w:t>and model-derived valuations whose inputs are observable or whose significant value drivers are observable. This level includes those financial instruments that are valued using industry-standard pricing methodologies or models. All significant inputs are observable or derived from observable information in the marketplace. Financial instruments in this category primarily include corporate fixed maturities, government or agency securities and mortgage-backed securities.</w:t>
      </w:r>
    </w:p>
    <w:p>
      <w:pPr>
        <w:spacing w:after="0" w:line="61" w:lineRule="exact"/>
        <w:rPr>
          <w:rFonts w:ascii="Arial" w:cs="Arial" w:eastAsia="Arial" w:hAnsi="Arial"/>
          <w:sz w:val="18"/>
          <w:szCs w:val="18"/>
          <w:color w:val="auto"/>
        </w:rPr>
      </w:pPr>
    </w:p>
    <w:p>
      <w:pPr>
        <w:ind w:left="900" w:right="20" w:hanging="325"/>
        <w:spacing w:after="0" w:line="256"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Instruments whose significant value drivers are unobservable. This comprises financial instruments for which fair value is estimated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industry-standard pricing methodologies and internally developed models utilizing significant inputs not based on or corroborated by readily available market information. In limited circumstances, this category may also utilize non-binding broker quotes. This category primarily consists of funds held under deposit contracts and mortgage loans.</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tables present the fair value of the Company’s financial instruments classified by the valuation hierarchy described above. The financial instruments are separated between those accounted for at fair value on a recurring basis and those not carried at fair value but for which disclosure of fair value is required.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w w:val="88"/>
              </w:rPr>
              <w:t>As of December 31, 2012</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86"/>
              </w:rPr>
              <w:t>Carrying</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Amount</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Level 2</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Level 3</w:t>
            </w:r>
          </w:p>
        </w:tc>
        <w:tc>
          <w:tcPr>
            <w:tcW w:w="26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Measured at fair value on a recurring basis:</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Financial assets: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Fixed maturities, available-for-sale: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280"/>
              <w:spacing w:after="0"/>
              <w:rPr>
                <w:sz w:val="20"/>
                <w:szCs w:val="20"/>
                <w:color w:val="auto"/>
              </w:rPr>
            </w:pPr>
            <w:r>
              <w:rPr>
                <w:rFonts w:ascii="Arial" w:cs="Arial" w:eastAsia="Arial" w:hAnsi="Arial"/>
                <w:sz w:val="18"/>
                <w:szCs w:val="18"/>
                <w:color w:val="auto"/>
              </w:rPr>
              <w:t>U.S. government and agencies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311.5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311.5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311.5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776.5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280"/>
              <w:spacing w:after="0"/>
              <w:rPr>
                <w:sz w:val="20"/>
                <w:szCs w:val="20"/>
                <w:color w:val="auto"/>
              </w:rPr>
            </w:pPr>
            <w:r>
              <w:rPr>
                <w:rFonts w:ascii="Arial" w:cs="Arial" w:eastAsia="Arial" w:hAnsi="Arial"/>
                <w:sz w:val="18"/>
                <w:szCs w:val="18"/>
                <w:color w:val="auto"/>
              </w:rPr>
              <w:t>Corporate securities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17,201.6</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17,201.6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17,162.7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38.9</w:t>
            </w:r>
          </w:p>
        </w:tc>
        <w:tc>
          <w:tcPr>
            <w:tcW w:w="1040" w:type="dxa"/>
            <w:vAlign w:val="bottom"/>
            <w:gridSpan w:val="3"/>
          </w:tcPr>
          <w:p>
            <w:pPr>
              <w:ind w:left="6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Residential mortgage-backed securities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3,007.8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3,007.8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3,007.8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280"/>
              <w:spacing w:after="0"/>
              <w:rPr>
                <w:sz w:val="20"/>
                <w:szCs w:val="20"/>
                <w:color w:val="auto"/>
              </w:rPr>
            </w:pPr>
            <w:r>
              <w:rPr>
                <w:rFonts w:ascii="Arial" w:cs="Arial" w:eastAsia="Arial" w:hAnsi="Arial"/>
                <w:sz w:val="18"/>
                <w:szCs w:val="18"/>
                <w:color w:val="auto"/>
              </w:rPr>
              <w:t>Commercial mortgage-backed securities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1,707.7</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1,707.7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1,688.9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18.8</w:t>
            </w:r>
          </w:p>
        </w:tc>
        <w:tc>
          <w:tcPr>
            <w:tcW w:w="1040" w:type="dxa"/>
            <w:vAlign w:val="bottom"/>
            <w:gridSpan w:val="3"/>
          </w:tcPr>
          <w:p>
            <w:pPr>
              <w:ind w:left="6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debt obligations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513.9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513.9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vMerge w:val="restart"/>
          </w:tcPr>
          <w:p>
            <w:pPr>
              <w:ind w:left="860"/>
              <w:spacing w:after="0"/>
              <w:rPr>
                <w:sz w:val="20"/>
                <w:szCs w:val="20"/>
                <w:color w:val="auto"/>
              </w:rPr>
            </w:pPr>
            <w:r>
              <w:rPr>
                <w:rFonts w:ascii="Arial" w:cs="Arial" w:eastAsia="Arial" w:hAnsi="Arial"/>
                <w:sz w:val="18"/>
                <w:szCs w:val="18"/>
                <w:color w:val="auto"/>
              </w:rPr>
              <w:t>Total fixed maturities, available-for-sale</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23,519.0</w:t>
            </w: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23,519.0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23,388.3</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130.7</w:t>
            </w:r>
          </w:p>
        </w:tc>
        <w:tc>
          <w:tcPr>
            <w:tcW w:w="1040" w:type="dxa"/>
            <w:vAlign w:val="bottom"/>
            <w:gridSpan w:val="3"/>
          </w:tcPr>
          <w:p>
            <w:pPr>
              <w:ind w:left="6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Marketable equity securities, available-for-sale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60"/>
              <w:spacing w:after="0"/>
              <w:rPr>
                <w:sz w:val="20"/>
                <w:szCs w:val="20"/>
                <w:color w:val="auto"/>
              </w:rPr>
            </w:pPr>
            <w:r>
              <w:rPr>
                <w:rFonts w:ascii="Arial" w:cs="Arial" w:eastAsia="Arial" w:hAnsi="Arial"/>
                <w:sz w:val="18"/>
                <w:szCs w:val="18"/>
                <w:color w:val="auto"/>
              </w:rPr>
              <w:t>Marketable equity securities, trading</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552.7</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552.7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552.5</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Investments in limited partnerships, private equity funds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280"/>
              <w:spacing w:after="0"/>
              <w:rPr>
                <w:sz w:val="20"/>
                <w:szCs w:val="20"/>
                <w:color w:val="auto"/>
              </w:rPr>
            </w:pPr>
            <w:r>
              <w:rPr>
                <w:rFonts w:ascii="Arial" w:cs="Arial" w:eastAsia="Arial" w:hAnsi="Arial"/>
                <w:sz w:val="18"/>
                <w:szCs w:val="18"/>
                <w:color w:val="auto"/>
              </w:rPr>
              <w:t>Other invested assets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investments carried at fair value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5"/>
              </w:rPr>
              <w:t>24,174.5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5"/>
              </w:rPr>
              <w:t>24,174.5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556.8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5"/>
              </w:rPr>
              <w:t>23,445.4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172.3</w:t>
            </w:r>
          </w:p>
        </w:tc>
        <w:tc>
          <w:tcPr>
            <w:tcW w:w="1040" w:type="dxa"/>
            <w:vAlign w:val="bottom"/>
            <w:gridSpan w:val="3"/>
            <w:shd w:val="clear" w:color="auto" w:fill="CCEEFF"/>
          </w:tcPr>
          <w:p>
            <w:pPr>
              <w:ind w:left="600"/>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Separate account assets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807.7</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807.7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807.7</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5"/>
              </w:rPr>
              <w:t>24,982.2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5"/>
              </w:rPr>
              <w:t>24,982.2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6"/>
              </w:rPr>
              <w:t>1,364.5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5"/>
              </w:rPr>
              <w:t>23,445.4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172.3</w:t>
            </w:r>
          </w:p>
        </w:tc>
        <w:tc>
          <w:tcPr>
            <w:tcW w:w="1040" w:type="dxa"/>
            <w:vAlign w:val="bottom"/>
            <w:gridSpan w:val="3"/>
            <w:shd w:val="clear" w:color="auto" w:fill="CCEEFF"/>
          </w:tcPr>
          <w:p>
            <w:pPr>
              <w:ind w:left="600"/>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80" w:type="dxa"/>
            <w:vAlign w:val="bottom"/>
            <w:vMerge w:val="restart"/>
          </w:tcPr>
          <w:p>
            <w:pPr>
              <w:jc w:val="right"/>
              <w:ind w:right="152"/>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5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3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Level 1</w:t>
            </w:r>
          </w:p>
        </w:tc>
        <w:tc>
          <w:tcPr>
            <w:tcW w:w="18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Level 2</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Level 3</w:t>
            </w: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Subject to fair value disclosure requirements:</w:t>
            </w:r>
          </w:p>
        </w:tc>
        <w:tc>
          <w:tcPr>
            <w:tcW w:w="1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i w:val="1"/>
                <w:iCs w:val="1"/>
                <w:color w:val="auto"/>
              </w:rPr>
              <w:t>Financial assets:</w:t>
            </w: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Mortgage loans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$ 3,094.4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$ 3,370.5</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  —</w:t>
            </w: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  —</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0"/>
              </w:rPr>
              <w:t>$ 3,370.5</w:t>
            </w: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Investments in limited partnerships, tax credit investments</w:t>
            </w: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210.7</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208.3</w:t>
            </w:r>
          </w:p>
        </w:tc>
        <w:tc>
          <w:tcPr>
            <w:tcW w:w="36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208.3</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16"/>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130.8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130.8</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130.8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16"/>
        </w:trPr>
        <w:tc>
          <w:tcPr>
            <w:tcW w:w="5660" w:type="dxa"/>
            <w:vAlign w:val="bottom"/>
          </w:tcPr>
          <w:p>
            <w:pPr>
              <w:spacing w:after="0"/>
              <w:rPr>
                <w:sz w:val="20"/>
                <w:szCs w:val="20"/>
                <w:color w:val="auto"/>
              </w:rPr>
            </w:pPr>
            <w:r>
              <w:rPr>
                <w:rFonts w:ascii="Arial" w:cs="Arial" w:eastAsia="Arial" w:hAnsi="Arial"/>
                <w:sz w:val="18"/>
                <w:szCs w:val="18"/>
                <w:i w:val="1"/>
                <w:iCs w:val="1"/>
                <w:color w:val="auto"/>
              </w:rPr>
              <w:t>Financial liabilities:</w:t>
            </w: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 held under deposit contracts (1):</w:t>
            </w: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60" w:type="dxa"/>
            <w:vAlign w:val="bottom"/>
          </w:tcPr>
          <w:p>
            <w:pPr>
              <w:ind w:left="880"/>
              <w:spacing w:after="0"/>
              <w:rPr>
                <w:sz w:val="20"/>
                <w:szCs w:val="20"/>
                <w:color w:val="auto"/>
              </w:rPr>
            </w:pPr>
            <w:r>
              <w:rPr>
                <w:rFonts w:ascii="Arial" w:cs="Arial" w:eastAsia="Arial" w:hAnsi="Arial"/>
                <w:sz w:val="18"/>
                <w:szCs w:val="18"/>
                <w:color w:val="auto"/>
              </w:rPr>
              <w:t>Deferred annuities</w:t>
            </w: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10,596.7</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10,610.9</w:t>
            </w:r>
          </w:p>
        </w:tc>
        <w:tc>
          <w:tcPr>
            <w:tcW w:w="36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6"/>
              </w:rPr>
              <w:t>10,610.9</w:t>
            </w:r>
          </w:p>
        </w:tc>
      </w:tr>
      <w:tr>
        <w:trPr>
          <w:trHeight w:val="216"/>
        </w:trPr>
        <w:tc>
          <w:tcPr>
            <w:tcW w:w="5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annuities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6,585.9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8,386.3</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8,386.3</w:t>
            </w: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Notes payable:</w:t>
            </w: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Capital Efficient Notes (CENts)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149.9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154.8</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154.8</w:t>
            </w:r>
          </w:p>
        </w:tc>
      </w:tr>
      <w:tr>
        <w:trPr>
          <w:trHeight w:val="228"/>
        </w:trPr>
        <w:tc>
          <w:tcPr>
            <w:tcW w:w="5660" w:type="dxa"/>
            <w:vAlign w:val="bottom"/>
          </w:tcPr>
          <w:p>
            <w:pPr>
              <w:ind w:left="880"/>
              <w:spacing w:after="0"/>
              <w:rPr>
                <w:sz w:val="20"/>
                <w:szCs w:val="20"/>
                <w:color w:val="auto"/>
              </w:rPr>
            </w:pPr>
            <w:r>
              <w:rPr>
                <w:rFonts w:ascii="Arial" w:cs="Arial" w:eastAsia="Arial" w:hAnsi="Arial"/>
                <w:sz w:val="18"/>
                <w:szCs w:val="18"/>
                <w:color w:val="auto"/>
              </w:rPr>
              <w:t>Senior notes</w:t>
            </w: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299.5</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324.5</w:t>
            </w:r>
          </w:p>
        </w:tc>
        <w:tc>
          <w:tcPr>
            <w:tcW w:w="36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324.5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carrying value of this balance excludes $5,885.9 of liabilities related to insurance contracts as of December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As of December 31, 2011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0"/>
              </w:rPr>
              <w:t>Carrying</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Amount</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Level 3</w:t>
            </w:r>
          </w:p>
        </w:tc>
        <w:tc>
          <w:tcPr>
            <w:tcW w:w="2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Measured at fair value on a recurring basis:</w:t>
            </w:r>
          </w:p>
        </w:tc>
        <w:tc>
          <w:tcPr>
            <w:tcW w:w="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Financial assets: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Fixed maturities, available-for-sale: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280"/>
              <w:spacing w:after="0"/>
              <w:rPr>
                <w:sz w:val="20"/>
                <w:szCs w:val="20"/>
                <w:color w:val="auto"/>
              </w:rPr>
            </w:pPr>
            <w:r>
              <w:rPr>
                <w:rFonts w:ascii="Arial" w:cs="Arial" w:eastAsia="Arial" w:hAnsi="Arial"/>
                <w:sz w:val="18"/>
                <w:szCs w:val="18"/>
                <w:color w:val="auto"/>
              </w:rPr>
              <w:t>U.S. government and agencies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State and political subdivisions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280"/>
              <w:spacing w:after="0"/>
              <w:rPr>
                <w:sz w:val="20"/>
                <w:szCs w:val="20"/>
                <w:color w:val="auto"/>
              </w:rPr>
            </w:pPr>
            <w:r>
              <w:rPr>
                <w:rFonts w:ascii="Arial" w:cs="Arial" w:eastAsia="Arial" w:hAnsi="Arial"/>
                <w:sz w:val="18"/>
                <w:szCs w:val="18"/>
                <w:color w:val="auto"/>
              </w:rPr>
              <w:t>Corporate securities (1)</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16,181.2</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16,181.2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16,089.8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91.4</w:t>
            </w:r>
          </w:p>
        </w:tc>
        <w:tc>
          <w:tcPr>
            <w:tcW w:w="1020" w:type="dxa"/>
            <w:vAlign w:val="bottom"/>
            <w:gridSpan w:val="3"/>
          </w:tcPr>
          <w:p>
            <w:pPr>
              <w:ind w:left="600"/>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Residential mortgage-backed securities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3,625.0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3,625.0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3,625.0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280"/>
              <w:spacing w:after="0"/>
              <w:rPr>
                <w:sz w:val="20"/>
                <w:szCs w:val="20"/>
                <w:color w:val="auto"/>
              </w:rPr>
            </w:pPr>
            <w:r>
              <w:rPr>
                <w:rFonts w:ascii="Arial" w:cs="Arial" w:eastAsia="Arial" w:hAnsi="Arial"/>
                <w:sz w:val="18"/>
                <w:szCs w:val="18"/>
                <w:color w:val="auto"/>
              </w:rPr>
              <w:t>Commercial mortgage-backed securities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1,837.0</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1,837.0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1,821.1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15.9</w:t>
            </w:r>
          </w:p>
        </w:tc>
        <w:tc>
          <w:tcPr>
            <w:tcW w:w="1020" w:type="dxa"/>
            <w:vAlign w:val="bottom"/>
            <w:gridSpan w:val="3"/>
          </w:tcPr>
          <w:p>
            <w:pPr>
              <w:ind w:left="6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debt obligations (1)</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vMerge w:val="restart"/>
          </w:tcPr>
          <w:p>
            <w:pPr>
              <w:ind w:left="860"/>
              <w:spacing w:after="0"/>
              <w:rPr>
                <w:sz w:val="20"/>
                <w:szCs w:val="20"/>
                <w:color w:val="auto"/>
              </w:rPr>
            </w:pPr>
            <w:r>
              <w:rPr>
                <w:rFonts w:ascii="Arial" w:cs="Arial" w:eastAsia="Arial" w:hAnsi="Arial"/>
                <w:sz w:val="18"/>
                <w:szCs w:val="18"/>
                <w:color w:val="auto"/>
              </w:rPr>
              <w:t>Total fixed maturities, available-for-sale</w:t>
            </w: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22,905.2</w:t>
            </w: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22,905.2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22,718.0</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187.2</w:t>
            </w:r>
          </w:p>
        </w:tc>
        <w:tc>
          <w:tcPr>
            <w:tcW w:w="1020" w:type="dxa"/>
            <w:vAlign w:val="bottom"/>
            <w:gridSpan w:val="3"/>
          </w:tcPr>
          <w:p>
            <w:pPr>
              <w:ind w:left="6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Marketable equity securities, available-for-sale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60"/>
              <w:spacing w:after="0"/>
              <w:rPr>
                <w:sz w:val="20"/>
                <w:szCs w:val="20"/>
                <w:color w:val="auto"/>
              </w:rPr>
            </w:pPr>
            <w:r>
              <w:rPr>
                <w:rFonts w:ascii="Arial" w:cs="Arial" w:eastAsia="Arial" w:hAnsi="Arial"/>
                <w:sz w:val="18"/>
                <w:szCs w:val="18"/>
                <w:color w:val="auto"/>
              </w:rPr>
              <w:t>Marketable equity securities, trading</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381.7</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381.7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381.1</w:t>
            </w:r>
          </w:p>
        </w:tc>
        <w:tc>
          <w:tcPr>
            <w:tcW w:w="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Investments in limited partnerships, private equity funds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60"/>
              <w:spacing w:after="0"/>
              <w:rPr>
                <w:sz w:val="20"/>
                <w:szCs w:val="20"/>
                <w:color w:val="auto"/>
              </w:rPr>
            </w:pPr>
            <w:r>
              <w:rPr>
                <w:rFonts w:ascii="Arial" w:cs="Arial" w:eastAsia="Arial" w:hAnsi="Arial"/>
                <w:sz w:val="18"/>
                <w:szCs w:val="18"/>
                <w:color w:val="auto"/>
              </w:rPr>
              <w:t>Other invested assets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investments carried at fair value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23,380.8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23,380.8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384.4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22,771.0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225.4</w:t>
            </w:r>
          </w:p>
        </w:tc>
        <w:tc>
          <w:tcPr>
            <w:tcW w:w="10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Separate account assets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795.8</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795.8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795.8</w:t>
            </w:r>
          </w:p>
        </w:tc>
        <w:tc>
          <w:tcPr>
            <w:tcW w:w="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24,176.6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24,176.6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1,180.2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22,771.0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225.4</w:t>
            </w:r>
          </w:p>
        </w:tc>
        <w:tc>
          <w:tcPr>
            <w:tcW w:w="10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97"/>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20" w:type="dxa"/>
            <w:vAlign w:val="bottom"/>
            <w:vMerge w:val="restart"/>
          </w:tcPr>
          <w:p>
            <w:pPr>
              <w:jc w:val="right"/>
              <w:ind w:right="192"/>
              <w:spacing w:after="0"/>
              <w:rPr>
                <w:sz w:val="20"/>
                <w:szCs w:val="20"/>
                <w:color w:val="auto"/>
              </w:rPr>
            </w:pPr>
            <w:r>
              <w:rPr>
                <w:rFonts w:ascii="Arial" w:cs="Arial" w:eastAsia="Arial" w:hAnsi="Arial"/>
                <w:sz w:val="18"/>
                <w:szCs w:val="18"/>
                <w:color w:val="auto"/>
              </w:rPr>
              <w:t>142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Carrying</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1"/>
        </w:trPr>
        <w:tc>
          <w:tcPr>
            <w:tcW w:w="5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196"/>
        </w:trPr>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Subject to fair value disclosure requirements:</w:t>
            </w:r>
          </w:p>
        </w:tc>
        <w:tc>
          <w:tcPr>
            <w:tcW w:w="1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Financial assets:</w:t>
            </w: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Mortgage loans</w:t>
            </w:r>
          </w:p>
        </w:tc>
        <w:tc>
          <w:tcPr>
            <w:tcW w:w="2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2,517.6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$ 2,685.7</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$ 2,685.7</w:t>
            </w:r>
          </w:p>
        </w:tc>
        <w:tc>
          <w:tcPr>
            <w:tcW w:w="320" w:type="dxa"/>
            <w:vAlign w:val="bottom"/>
            <w:shd w:val="clear" w:color="auto" w:fill="CCEEFF"/>
          </w:tcPr>
          <w:p>
            <w:pPr>
              <w:spacing w:after="0"/>
              <w:rPr>
                <w:sz w:val="18"/>
                <w:szCs w:val="18"/>
                <w:color w:val="auto"/>
              </w:rPr>
            </w:pPr>
          </w:p>
        </w:tc>
      </w:tr>
      <w:tr>
        <w:trPr>
          <w:trHeight w:val="216"/>
        </w:trPr>
        <w:tc>
          <w:tcPr>
            <w:tcW w:w="5700" w:type="dxa"/>
            <w:vAlign w:val="bottom"/>
          </w:tcPr>
          <w:p>
            <w:pPr>
              <w:ind w:left="440"/>
              <w:spacing w:after="0"/>
              <w:rPr>
                <w:sz w:val="20"/>
                <w:szCs w:val="20"/>
                <w:color w:val="auto"/>
              </w:rPr>
            </w:pPr>
            <w:r>
              <w:rPr>
                <w:rFonts w:ascii="Arial" w:cs="Arial" w:eastAsia="Arial" w:hAnsi="Arial"/>
                <w:sz w:val="18"/>
                <w:szCs w:val="18"/>
                <w:color w:val="auto"/>
              </w:rPr>
              <w:t>Investments in limited partnerships, tax credit investments</w:t>
            </w:r>
          </w:p>
        </w:tc>
        <w:tc>
          <w:tcPr>
            <w:tcW w:w="2040" w:type="dxa"/>
            <w:vAlign w:val="bottom"/>
            <w:gridSpan w:val="3"/>
          </w:tcPr>
          <w:p>
            <w:pPr>
              <w:jc w:val="right"/>
              <w:ind w:right="140"/>
              <w:spacing w:after="0"/>
              <w:rPr>
                <w:sz w:val="20"/>
                <w:szCs w:val="20"/>
                <w:color w:val="auto"/>
              </w:rPr>
            </w:pPr>
            <w:r>
              <w:rPr>
                <w:rFonts w:ascii="Arial" w:cs="Arial" w:eastAsia="Arial" w:hAnsi="Arial"/>
                <w:sz w:val="18"/>
                <w:szCs w:val="18"/>
                <w:color w:val="auto"/>
              </w:rPr>
              <w:t>199.1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8"/>
                <w:szCs w:val="18"/>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2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242.3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Financial liabilities:</w:t>
            </w: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 held under deposit contracts (2):</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5700" w:type="dxa"/>
            <w:vAlign w:val="bottom"/>
          </w:tcPr>
          <w:p>
            <w:pPr>
              <w:ind w:left="880"/>
              <w:spacing w:after="0"/>
              <w:rPr>
                <w:sz w:val="20"/>
                <w:szCs w:val="20"/>
                <w:color w:val="auto"/>
              </w:rPr>
            </w:pPr>
            <w:r>
              <w:rPr>
                <w:rFonts w:ascii="Arial" w:cs="Arial" w:eastAsia="Arial" w:hAnsi="Arial"/>
                <w:sz w:val="18"/>
                <w:szCs w:val="18"/>
                <w:color w:val="auto"/>
              </w:rPr>
              <w:t>Deferred annuities</w:t>
            </w:r>
          </w:p>
        </w:tc>
        <w:tc>
          <w:tcPr>
            <w:tcW w:w="2040" w:type="dxa"/>
            <w:vAlign w:val="bottom"/>
            <w:gridSpan w:val="3"/>
          </w:tcPr>
          <w:p>
            <w:pPr>
              <w:jc w:val="right"/>
              <w:ind w:right="140"/>
              <w:spacing w:after="0"/>
              <w:rPr>
                <w:sz w:val="20"/>
                <w:szCs w:val="20"/>
                <w:color w:val="auto"/>
              </w:rPr>
            </w:pPr>
            <w:r>
              <w:rPr>
                <w:rFonts w:ascii="Arial" w:cs="Arial" w:eastAsia="Arial" w:hAnsi="Arial"/>
                <w:sz w:val="18"/>
                <w:szCs w:val="18"/>
                <w:color w:val="auto"/>
              </w:rPr>
              <w:t>10,158.1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9,985.1</w:t>
            </w:r>
          </w:p>
        </w:tc>
        <w:tc>
          <w:tcPr>
            <w:tcW w:w="2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9,985.1</w:t>
            </w:r>
          </w:p>
        </w:tc>
        <w:tc>
          <w:tcPr>
            <w:tcW w:w="320" w:type="dxa"/>
            <w:vAlign w:val="bottom"/>
          </w:tcPr>
          <w:p>
            <w:pPr>
              <w:spacing w:after="0"/>
              <w:rPr>
                <w:sz w:val="18"/>
                <w:szCs w:val="18"/>
                <w:color w:val="auto"/>
              </w:rPr>
            </w:pPr>
          </w:p>
        </w:tc>
      </w:tr>
      <w:tr>
        <w:trPr>
          <w:trHeight w:val="216"/>
        </w:trPr>
        <w:tc>
          <w:tcPr>
            <w:tcW w:w="5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annuities</w:t>
            </w:r>
          </w:p>
        </w:tc>
        <w:tc>
          <w:tcPr>
            <w:tcW w:w="2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6,605.6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7,786.1</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7,786.1</w:t>
            </w:r>
          </w:p>
        </w:tc>
        <w:tc>
          <w:tcPr>
            <w:tcW w:w="320" w:type="dxa"/>
            <w:vAlign w:val="bottom"/>
            <w:shd w:val="clear" w:color="auto" w:fill="CCEEFF"/>
          </w:tcPr>
          <w:p>
            <w:pPr>
              <w:spacing w:after="0"/>
              <w:rPr>
                <w:sz w:val="18"/>
                <w:szCs w:val="18"/>
                <w:color w:val="auto"/>
              </w:rPr>
            </w:pPr>
          </w:p>
        </w:tc>
      </w:tr>
      <w:tr>
        <w:trPr>
          <w:trHeight w:val="216"/>
        </w:trPr>
        <w:tc>
          <w:tcPr>
            <w:tcW w:w="5700" w:type="dxa"/>
            <w:vAlign w:val="bottom"/>
          </w:tcPr>
          <w:p>
            <w:pPr>
              <w:ind w:left="440"/>
              <w:spacing w:after="0"/>
              <w:rPr>
                <w:sz w:val="20"/>
                <w:szCs w:val="20"/>
                <w:color w:val="auto"/>
              </w:rPr>
            </w:pPr>
            <w:r>
              <w:rPr>
                <w:rFonts w:ascii="Arial" w:cs="Arial" w:eastAsia="Arial" w:hAnsi="Arial"/>
                <w:sz w:val="18"/>
                <w:szCs w:val="18"/>
                <w:color w:val="auto"/>
              </w:rPr>
              <w:t>Notes payable:</w:t>
            </w: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5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Capital Efficient Notes (CENts)</w:t>
            </w:r>
          </w:p>
        </w:tc>
        <w:tc>
          <w:tcPr>
            <w:tcW w:w="2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149.9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320" w:type="dxa"/>
            <w:vAlign w:val="bottom"/>
            <w:shd w:val="clear" w:color="auto" w:fill="CCEEFF"/>
          </w:tcPr>
          <w:p>
            <w:pPr>
              <w:spacing w:after="0"/>
              <w:rPr>
                <w:sz w:val="18"/>
                <w:szCs w:val="18"/>
                <w:color w:val="auto"/>
              </w:rPr>
            </w:pPr>
          </w:p>
        </w:tc>
      </w:tr>
      <w:tr>
        <w:trPr>
          <w:trHeight w:val="222"/>
        </w:trPr>
        <w:tc>
          <w:tcPr>
            <w:tcW w:w="5700" w:type="dxa"/>
            <w:vAlign w:val="bottom"/>
          </w:tcPr>
          <w:p>
            <w:pPr>
              <w:ind w:left="880"/>
              <w:spacing w:after="0"/>
              <w:rPr>
                <w:sz w:val="20"/>
                <w:szCs w:val="20"/>
                <w:color w:val="auto"/>
              </w:rPr>
            </w:pPr>
            <w:r>
              <w:rPr>
                <w:rFonts w:ascii="Arial" w:cs="Arial" w:eastAsia="Arial" w:hAnsi="Arial"/>
                <w:sz w:val="18"/>
                <w:szCs w:val="18"/>
                <w:color w:val="auto"/>
              </w:rPr>
              <w:t>Senior notes</w:t>
            </w:r>
          </w:p>
        </w:tc>
        <w:tc>
          <w:tcPr>
            <w:tcW w:w="2040" w:type="dxa"/>
            <w:vAlign w:val="bottom"/>
            <w:gridSpan w:val="3"/>
          </w:tcPr>
          <w:p>
            <w:pPr>
              <w:jc w:val="right"/>
              <w:ind w:right="140"/>
              <w:spacing w:after="0"/>
              <w:rPr>
                <w:sz w:val="20"/>
                <w:szCs w:val="20"/>
                <w:color w:val="auto"/>
              </w:rPr>
            </w:pPr>
            <w:r>
              <w:rPr>
                <w:rFonts w:ascii="Arial" w:cs="Arial" w:eastAsia="Arial" w:hAnsi="Arial"/>
                <w:sz w:val="18"/>
                <w:szCs w:val="18"/>
                <w:color w:val="auto"/>
              </w:rPr>
              <w:t>299.3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304.8</w:t>
            </w:r>
          </w:p>
        </w:tc>
        <w:tc>
          <w:tcPr>
            <w:tcW w:w="28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304.8</w:t>
            </w:r>
          </w:p>
        </w:tc>
        <w:tc>
          <w:tcPr>
            <w:tcW w:w="3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20" w:hanging="452"/>
        <w:spacing w:after="0" w:line="283" w:lineRule="auto"/>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amounts include certain privately placed fixed maturities that are valued primarily using observable inputs. These securities, totaling $733.8, were included in Level 3 in the prior year financial statements. During the first quarter 2012, upon further evaluation and review of the valuation methodology, the Company determined that they are more appropriately reflected as Level 2 measurements as the unobservable inputs were not significant to the overall valuation. This evaluation did not result in a change to the fair value amounts reported.</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carrying value of this balance excludes $5,685.8 of liabilities related to insurance contracts as of December 31, 2011.</w:t>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Financial Instruments Measured at Fair Value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Fixed Maturities</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vast majority of the Company’s fixed maturities have been classified as Level 2 measurements. To make this assessment, the Company determines whether the market for a security is active and if significant pricing inputs are observable. The Company predominantly utilizes third party independent pricing services to assist management in determining the fair value of its fixed maturity securities. As of December 31, 2012 and 2011, respectively, pricing services provided prices for 96.2% and 95.9% of the Company’s fixed maturities.</w:t>
      </w:r>
    </w:p>
    <w:p>
      <w:pPr>
        <w:spacing w:after="0" w:line="143"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Company analyzes the prices received from the pricing services to ensure they represent a reasonable estimate of fair value, including analytical reviews of prices between reporting periods. The Company also performs procedures to gain assurance on the overall reasonableness and consistent use of inputs, valuation methodologies and compliance with fair value accounting standards. This includes an annual review of pricing methodologies and inputs by asset class and performing periodic due diligence procedures, including quarterly deep-dive analyses, monthly price fluctuation analyses, and corroboration of prices by obtaining secondary pricing quotes for selected securities. Based upon its analyses, the Company has not adjusted prices obtained from the pricing services.</w:t>
      </w:r>
    </w:p>
    <w:p>
      <w:pPr>
        <w:spacing w:after="0" w:line="10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pricing services provide prices where observable inputs are available, utilizing evaluated pricing models that vary by asset class. If sufficient objectively verifiable information about a security’s valuation is not available, the pricing services will not provide a valuation for the security. In these situations, the security’s fair value is determined using internal pricing models.</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As of December 31, 2012, the Company had $819.6, or 3.5%, of its fixed maturities invested in private placement securities. The use of significant observable inputs in determining the fair value of the Company’s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investments in private placement securities resulted in the classification of $787.3, or 96.1%, as Level 2 measurements as of December 31, 2012. As of December 31, 2011, the Company had $936.4, or 4.1%, of its fixed maturities invested in private placement securities, of which $816.9, or 87.2%, were classified as Level 2 measurements.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Securities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As of December 31, 2012 and 2011, the fair value of the Company’s corporate securities classified as Level 2 measurements was $17,162.7 and $16,089.8, respectively. The following table presents additional information about the composition of the Level 2 corporate securities: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As of December 31, 2012</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84"/>
              </w:rPr>
              <w:t>As of December 31, 2011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4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rPr>
              <w:t>% of</w:t>
            </w:r>
          </w:p>
        </w:tc>
        <w:tc>
          <w:tcPr>
            <w:tcW w:w="560" w:type="dxa"/>
            <w:vAlign w:val="bottom"/>
          </w:tcPr>
          <w:p>
            <w:pPr>
              <w:jc w:val="right"/>
              <w:ind w:right="99"/>
              <w:spacing w:after="0" w:line="12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 of</w:t>
            </w:r>
          </w:p>
        </w:tc>
        <w:tc>
          <w:tcPr>
            <w:tcW w:w="560" w:type="dxa"/>
            <w:vAlign w:val="bottom"/>
          </w:tcPr>
          <w:p>
            <w:pPr>
              <w:ind w:left="180"/>
              <w:spacing w:after="0" w:line="129"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1"/>
                <w:szCs w:val="11"/>
                <w:color w:val="auto"/>
              </w:rPr>
            </w:pPr>
          </w:p>
        </w:tc>
      </w:tr>
      <w:tr>
        <w:trPr>
          <w:trHeight w:val="161"/>
        </w:trPr>
        <w:tc>
          <w:tcPr>
            <w:tcW w:w="4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Amount</w:t>
            </w:r>
          </w:p>
        </w:tc>
        <w:tc>
          <w:tcPr>
            <w:tcW w:w="8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Total</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0"/>
              </w:rPr>
              <w:t>Securities</w:t>
            </w:r>
          </w:p>
        </w:tc>
        <w:tc>
          <w:tcPr>
            <w:tcW w:w="18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Amount</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0"/>
              </w:rPr>
              <w:t>Securities</w:t>
            </w:r>
          </w:p>
        </w:tc>
      </w:tr>
      <w:tr>
        <w:trPr>
          <w:trHeight w:val="196"/>
        </w:trPr>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Significant Security Sectors:</w:t>
            </w:r>
          </w:p>
        </w:tc>
        <w:tc>
          <w:tcPr>
            <w:tcW w:w="9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Industrials</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$3,312.1</w:t>
            </w:r>
          </w:p>
        </w:tc>
        <w:tc>
          <w:tcPr>
            <w:tcW w:w="5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19.3%</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218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$3,170.2</w:t>
            </w:r>
          </w:p>
        </w:tc>
        <w:tc>
          <w:tcPr>
            <w:tcW w:w="50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19.7%</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Consumer staples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2,785.1</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16.2</w:t>
            </w: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2,689.6</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16.7</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Consumer discretionary</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2,113.2</w:t>
            </w:r>
          </w:p>
        </w:tc>
        <w:tc>
          <w:tcPr>
            <w:tcW w:w="5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96"/>
              </w:rPr>
              <w:t>12.3</w:t>
            </w:r>
          </w:p>
        </w:tc>
        <w:tc>
          <w:tcPr>
            <w:tcW w:w="5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1,708.6</w:t>
            </w:r>
          </w:p>
        </w:tc>
        <w:tc>
          <w:tcPr>
            <w:tcW w:w="50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79"/>
              </w:rPr>
              <w:t>10.6</w:t>
            </w:r>
          </w:p>
        </w:tc>
        <w:tc>
          <w:tcPr>
            <w:tcW w:w="5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Utilities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1,904.8</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6"/>
              </w:rPr>
              <w:t>11.1</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1,901.5</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11.8</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Weighted-average coupon rate</w:t>
            </w:r>
          </w:p>
        </w:tc>
        <w:tc>
          <w:tcPr>
            <w:tcW w:w="20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5.88%</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6.09%</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years to contractual maturity</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11.2</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majority of corporate securities classified as Level 2 measurements are priced by independent pricing services utilizing evaluated pricing models. The significant inputs for security evaluations include benchmark yields, reported trades, broker-dealer quotes, issuer spreads, two-sided markets, benchmark securities, bids, offers and other reference data, including market research publications. Because many corporate securities do not trade on a daily basis, evaluated pricing applications apply available information through processes such as benchmark curves, benchmarking of like securities, sector groupings and matrix pricing to prepare valuations.</w:t>
      </w:r>
    </w:p>
    <w:p>
      <w:pPr>
        <w:spacing w:after="0" w:line="143" w:lineRule="exact"/>
        <w:rPr>
          <w:sz w:val="20"/>
          <w:szCs w:val="20"/>
          <w:color w:val="auto"/>
        </w:rPr>
      </w:pPr>
    </w:p>
    <w:p>
      <w:pPr>
        <w:ind w:right="460" w:firstLine="456"/>
        <w:spacing w:after="0" w:line="291" w:lineRule="auto"/>
        <w:rPr>
          <w:sz w:val="20"/>
          <w:szCs w:val="20"/>
          <w:color w:val="auto"/>
        </w:rPr>
      </w:pPr>
      <w:r>
        <w:rPr>
          <w:rFonts w:ascii="Arial" w:cs="Arial" w:eastAsia="Arial" w:hAnsi="Arial"/>
          <w:sz w:val="16"/>
          <w:szCs w:val="16"/>
          <w:color w:val="auto"/>
        </w:rPr>
        <w:t>As of December 31, 2012, $675.1, or 3.9%, of Level 2 corporate securities were privately placed. These securities were valued using a matrix pricing approach. The significant inputs to the measurement are the base credit spread, treasury yield and expected future cash flows of the security, which are all observable inputs. The base spread is determined based on trades of similar publicly-traded securities, and the expected future cash flows are based on the contractual terms of the security. The valuation approach also incorporates an illiquidity spread, determined based on premiums demanded by investors for privately placed securities. The illiquidity spread is an unobservable input, which ranges from 0 to 25 basis points and is based on the credit quality of the security. The illiquidity spread does not significantly impact the resulting valuation.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Residential Mortgage-backed Securities</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As of December 31, 2012 and 2011, the fair value of the Company’s residential mortgage-backed securities (RMBS) classified as Level 2 measurements was $3,007.8 and $3,625.0, respectively. These securities were primarily fixed-rate, with a weighted-average coupon rate of 4.67% and 4.87% as of December 31, 2012 and 2011, respectively. Agency securities comprised 89.4% and 90.0% of the Company’s Level 2 RMBS as of December 31, 2012 and 2011, respectively.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additional information about the composition of the Level 2 non-agency RMBS securities: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3"/>
          </w:tcPr>
          <w:p>
            <w:pPr>
              <w:jc w:val="right"/>
              <w:ind w:right="1200"/>
              <w:spacing w:after="0"/>
              <w:rPr>
                <w:sz w:val="20"/>
                <w:szCs w:val="20"/>
                <w:color w:val="auto"/>
              </w:rPr>
            </w:pPr>
            <w:r>
              <w:rPr>
                <w:rFonts w:ascii="Arial" w:cs="Arial" w:eastAsia="Arial" w:hAnsi="Arial"/>
                <w:sz w:val="14"/>
                <w:szCs w:val="14"/>
                <w:b w:val="1"/>
                <w:bCs w:val="1"/>
                <w:color w:val="auto"/>
                <w:w w:val="97"/>
              </w:rPr>
              <w:t>As of</w:t>
            </w:r>
          </w:p>
        </w:tc>
        <w:tc>
          <w:tcPr>
            <w:tcW w:w="500" w:type="dxa"/>
            <w:vAlign w:val="bottom"/>
          </w:tcPr>
          <w:p>
            <w:pPr>
              <w:spacing w:after="0"/>
              <w:rPr>
                <w:sz w:val="14"/>
                <w:szCs w:val="14"/>
                <w:color w:val="auto"/>
              </w:rPr>
            </w:pPr>
          </w:p>
        </w:tc>
        <w:tc>
          <w:tcPr>
            <w:tcW w:w="120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w w:val="93"/>
              </w:rPr>
              <w:t>December 31, 2012</w:t>
            </w:r>
          </w:p>
        </w:tc>
        <w:tc>
          <w:tcPr>
            <w:tcW w:w="17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9"/>
              </w:rPr>
              <w:t>December 31,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3"/>
              </w:rPr>
              <w:t>Fair</w:t>
            </w:r>
          </w:p>
        </w:tc>
        <w:tc>
          <w:tcPr>
            <w:tcW w:w="4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rPr>
              <w:t>% of</w:t>
            </w:r>
          </w:p>
        </w:tc>
        <w:tc>
          <w:tcPr>
            <w:tcW w:w="600" w:type="dxa"/>
            <w:vAlign w:val="bottom"/>
          </w:tcPr>
          <w:p>
            <w:pPr>
              <w:spacing w:after="0"/>
              <w:rPr>
                <w:sz w:val="11"/>
                <w:szCs w:val="11"/>
                <w:color w:val="auto"/>
              </w:rPr>
            </w:pPr>
          </w:p>
        </w:tc>
        <w:tc>
          <w:tcPr>
            <w:tcW w:w="50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rPr>
              <w:t>Fair</w:t>
            </w:r>
          </w:p>
        </w:tc>
        <w:tc>
          <w:tcPr>
            <w:tcW w:w="5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26"/>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Value</w:t>
            </w:r>
          </w:p>
        </w:tc>
        <w:tc>
          <w:tcPr>
            <w:tcW w:w="480" w:type="dxa"/>
            <w:vAlign w:val="bottom"/>
          </w:tcPr>
          <w:p>
            <w:pPr>
              <w:spacing w:after="0"/>
              <w:rPr>
                <w:sz w:val="14"/>
                <w:szCs w:val="14"/>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Highest rating agency rating:</w:t>
            </w: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860"/>
              <w:spacing w:after="0"/>
              <w:rPr>
                <w:sz w:val="20"/>
                <w:szCs w:val="20"/>
                <w:color w:val="auto"/>
              </w:rPr>
            </w:pPr>
            <w:r>
              <w:rPr>
                <w:rFonts w:ascii="Arial" w:cs="Arial" w:eastAsia="Arial" w:hAnsi="Arial"/>
                <w:sz w:val="18"/>
                <w:szCs w:val="18"/>
                <w:color w:val="auto"/>
              </w:rPr>
              <w:t>AAA</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23.6</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7.4%</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$102.5</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AA through BBB</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94.1</w:t>
            </w:r>
          </w:p>
        </w:tc>
        <w:tc>
          <w:tcPr>
            <w:tcW w:w="15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29.5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860"/>
              <w:spacing w:after="0"/>
              <w:rPr>
                <w:sz w:val="20"/>
                <w:szCs w:val="20"/>
                <w:color w:val="auto"/>
              </w:rPr>
            </w:pPr>
            <w:r>
              <w:rPr>
                <w:rFonts w:ascii="Arial" w:cs="Arial" w:eastAsia="Arial" w:hAnsi="Arial"/>
                <w:sz w:val="18"/>
                <w:szCs w:val="18"/>
                <w:color w:val="auto"/>
              </w:rPr>
              <w:t>BB &amp; below</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201.8</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w:t>
            </w:r>
          </w:p>
        </w:tc>
        <w:tc>
          <w:tcPr>
            <w:tcW w:w="6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w:t>
            </w:r>
          </w:p>
        </w:tc>
        <w:tc>
          <w:tcPr>
            <w:tcW w:w="5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non-agency RMBS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319.5</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362.2</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Non-agency RMBS with super senior subordination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202.7</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63.4%</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$216.8</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of December 31, 2012 and 2011, the Company’s non-agency Level 2 RMBS had a weighted-average credit enhancement of 8.4% and 9.4%, respectively. As of December 31, 2012 and 2011, $127.7 and $152.3, or 40.0% and 42.0%, respectively, of the Company’s non-agency Level 2 RMBS had an origination or vintage year of 2004 and prior. The underlying collateral in years prior to 2005 is considered higher quality as underwriting standards were more stringent.</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Level 2 RMBS securities are priced by independent pricing services that utilize evaluated pricing models. The significant observable inputs for security evaluations include benchmark yields, reported trades, broker-dealer quotes, issuer spreads, two-sided markets, benchmark securities, bids, offers and other reference data, including market research publications. Because many RMBS do not trade on a daily basis, evaluated pricing applications apply available information through processes such as benchmark curves, benchmarking of like securities, sector groupings and matrix pricing to prepare evaluations. In addition, the pricing services use models and processes to develop prepayment and interest rate scenarios. The pricing services monitor market indicators, industry and economic events, and their models take into account market convention.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Mortgage-backed Securities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of December 31, 2012 and 2011, the fair value of the Company’s commercial mortgage-backed securities (CMBS) classified as Level 2 measurements was $1,688.9 and $1,821.1, respectively. The weighted-average coupon rate on these securities was 5.03% and 5.23% as of December 31, 2012 and 2011. The following table presents additional information about the composition of the underlying collateral of Level 2 CMBS securities: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58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79"/>
              </w:rPr>
              <w:t>As of</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r>
      <w:tr>
        <w:trPr>
          <w:trHeight w:val="161"/>
        </w:trPr>
        <w:tc>
          <w:tcPr>
            <w:tcW w:w="6620" w:type="dxa"/>
            <w:vAlign w:val="bottom"/>
          </w:tcPr>
          <w:p>
            <w:pPr>
              <w:spacing w:after="0"/>
              <w:rPr>
                <w:sz w:val="14"/>
                <w:szCs w:val="14"/>
                <w:color w:val="auto"/>
              </w:rPr>
            </w:pPr>
          </w:p>
        </w:tc>
        <w:tc>
          <w:tcPr>
            <w:tcW w:w="258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85"/>
              </w:rPr>
              <w:t>December 31, 2012</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December 31, 2011</w:t>
            </w:r>
          </w:p>
        </w:tc>
      </w:tr>
      <w:tr>
        <w:trPr>
          <w:trHeight w:val="142"/>
        </w:trPr>
        <w:tc>
          <w:tcPr>
            <w:tcW w:w="662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 of Total</w:t>
            </w:r>
          </w:p>
        </w:tc>
        <w:tc>
          <w:tcPr>
            <w:tcW w:w="150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 of Total</w:t>
            </w:r>
          </w:p>
        </w:tc>
        <w:tc>
          <w:tcPr>
            <w:tcW w:w="200" w:type="dxa"/>
            <w:vAlign w:val="bottom"/>
            <w:tcBorders>
              <w:bottom w:val="single" w:sz="8" w:color="CCEEFF"/>
            </w:tcBorders>
          </w:tcPr>
          <w:p>
            <w:pPr>
              <w:spacing w:after="0"/>
              <w:rPr>
                <w:sz w:val="12"/>
                <w:szCs w:val="12"/>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Significant underlying collateral locations:</w:t>
            </w:r>
          </w:p>
        </w:tc>
        <w:tc>
          <w:tcPr>
            <w:tcW w:w="10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80" w:type="dxa"/>
            <w:vAlign w:val="bottom"/>
            <w:gridSpan w:val="2"/>
          </w:tcPr>
          <w:p>
            <w:pPr>
              <w:jc w:val="right"/>
              <w:ind w:right="1320"/>
              <w:spacing w:after="0"/>
              <w:rPr>
                <w:sz w:val="20"/>
                <w:szCs w:val="20"/>
                <w:color w:val="auto"/>
              </w:rPr>
            </w:pPr>
            <w:r>
              <w:rPr>
                <w:rFonts w:ascii="Arial" w:cs="Arial" w:eastAsia="Arial" w:hAnsi="Arial"/>
                <w:sz w:val="18"/>
                <w:szCs w:val="18"/>
                <w:b w:val="1"/>
                <w:bCs w:val="1"/>
                <w:color w:val="auto"/>
              </w:rPr>
              <w:t>20.1%</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California</w:t>
            </w:r>
          </w:p>
        </w:tc>
        <w:tc>
          <w:tcPr>
            <w:tcW w:w="258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b w:val="1"/>
                <w:bCs w:val="1"/>
                <w:color w:val="auto"/>
              </w:rPr>
              <w:t>12.0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Texas</w:t>
            </w:r>
          </w:p>
        </w:tc>
        <w:tc>
          <w:tcPr>
            <w:tcW w:w="2580" w:type="dxa"/>
            <w:vAlign w:val="bottom"/>
            <w:gridSpan w:val="2"/>
          </w:tcPr>
          <w:p>
            <w:pPr>
              <w:jc w:val="right"/>
              <w:ind w:right="1500"/>
              <w:spacing w:after="0"/>
              <w:rPr>
                <w:sz w:val="20"/>
                <w:szCs w:val="20"/>
                <w:color w:val="auto"/>
              </w:rPr>
            </w:pPr>
            <w:r>
              <w:rPr>
                <w:rFonts w:ascii="Arial" w:cs="Arial" w:eastAsia="Arial" w:hAnsi="Arial"/>
                <w:sz w:val="18"/>
                <w:szCs w:val="18"/>
                <w:b w:val="1"/>
                <w:bCs w:val="1"/>
                <w:color w:val="auto"/>
              </w:rPr>
              <w:t>7.5</w:t>
            </w: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Significant underlying collateral property types:</w:t>
            </w:r>
          </w:p>
        </w:tc>
        <w:tc>
          <w:tcPr>
            <w:tcW w:w="10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Retail shopping centers</w:t>
            </w:r>
          </w:p>
        </w:tc>
        <w:tc>
          <w:tcPr>
            <w:tcW w:w="2580" w:type="dxa"/>
            <w:vAlign w:val="bottom"/>
            <w:gridSpan w:val="2"/>
          </w:tcPr>
          <w:p>
            <w:pPr>
              <w:jc w:val="right"/>
              <w:ind w:right="1320"/>
              <w:spacing w:after="0"/>
              <w:rPr>
                <w:sz w:val="20"/>
                <w:szCs w:val="20"/>
                <w:color w:val="auto"/>
              </w:rPr>
            </w:pPr>
            <w:r>
              <w:rPr>
                <w:rFonts w:ascii="Arial" w:cs="Arial" w:eastAsia="Arial" w:hAnsi="Arial"/>
                <w:sz w:val="18"/>
                <w:szCs w:val="18"/>
                <w:b w:val="1"/>
                <w:bCs w:val="1"/>
                <w:color w:val="auto"/>
              </w:rPr>
              <w:t>32.4%</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Office buildings</w:t>
            </w:r>
          </w:p>
        </w:tc>
        <w:tc>
          <w:tcPr>
            <w:tcW w:w="258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b w:val="1"/>
                <w:bCs w:val="1"/>
                <w:color w:val="auto"/>
              </w:rPr>
              <w:t>31.9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Company’s Level 2 CMBS securities were primarily non-agency securities, which comprised 78.4% and 72.1% of Level 2 CMBS as of December 31, 2012 and 2011, respectively. The non-agency Level 2 CMBS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had an estimated weighted-average credit enhancement of 29.9% and 29.2% as of December 31, 2012 and 2011, respectively, and 96.6% and 94.9% were in the most senior tranche as of December 31, 2012 and 2011, respectively.</w:t>
      </w:r>
    </w:p>
    <w:p>
      <w:pPr>
        <w:spacing w:after="0" w:line="132"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Level 2 CMBS securities are priced by independent pricing services that utilize evaluated pricing models. The significant observable inputs for security evaluations include benchmark yields, reported trades, broker-dealer quotes, issuer spreads, two-sided markets, benchmark securities, bids, offers, new issues, monthly payment information and other reference data, including market research publications. Because many CMBS do not trade on a daily basis, evaluated pricing applications apply available information through processes, such as benchmark curves, benchmarking of like securities, sector groupings and matrix pricing to prepare evaluations.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Marketable Equity Securities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Marketable equity securities are investments in common stock, including real estate investment trusts (REITs), certain nonredeemable preferred stocks, and investments in mutual funds. The securities primarily consist of investments in publicly traded companies, and Symetra mutual funds with published net asset values (NAVs). When the fair values of the Company’s marketable equity securities are based on quoted market prices in active markets for identical assets, they are classified as Level 1 measurements. The fair values of nonredeemable preferred stocks are valued by our independent pricing services utilizing evaluated pricing models and are classified as Level 2 measurements. These valuations are created based on benchmark curves using industry standard inputs and exchange prices of underlying securities and common stock of the same issuer.</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Investments in Limited Partnerships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Investments in limited partnerships recorded at fair value are investments in private equity funds. The Company utilizes the fair value option for these investments, regardless of ownership percentage, to standardize the related accounting and reporting. The fair value is approximated based upon the Company’s proportionate interest in the underlying partnership or fund’s NAV. The Company is generally unable to liquidate these investments during the term of the partnership or fund, which range from five to twelve years. As such, the Company classifies these securities as Level 3 measurements.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Separate Accounts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Separate account assets are primarily invested in mutual funds with published NAVs, which are classified as Level 1 measurements.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Rollforward of Financial Instruments Measured at Fair Value on a Recurring Basis Using Significant Unobservable Inputs (Level 3)</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presents additional information about assets measured at fair value on a recurring basis and for which significant unobservable inputs (Level 3) were utilized to determine fair value for the year ended December 31,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0"/>
              </w:rPr>
              <w:t>Unrealized Gain (Loss)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Balance as</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tcPr>
          <w:p>
            <w:pPr>
              <w:jc w:val="center"/>
              <w:ind w:right="98"/>
              <w:spacing w:after="0"/>
              <w:rPr>
                <w:sz w:val="20"/>
                <w:szCs w:val="20"/>
                <w:color w:val="auto"/>
              </w:rPr>
            </w:pPr>
            <w:r>
              <w:rPr>
                <w:rFonts w:ascii="Arial" w:cs="Arial" w:eastAsia="Arial" w:hAnsi="Arial"/>
                <w:sz w:val="14"/>
                <w:szCs w:val="14"/>
                <w:b w:val="1"/>
                <w:bCs w:val="1"/>
                <w:color w:val="auto"/>
                <w:w w:val="87"/>
              </w:rPr>
              <w:t>Transfers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Included in: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4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75"/>
              </w:rPr>
              <w:t>of</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jc w:val="center"/>
              <w:ind w:right="98"/>
              <w:spacing w:after="0" w:line="129" w:lineRule="exact"/>
              <w:rPr>
                <w:sz w:val="20"/>
                <w:szCs w:val="20"/>
                <w:color w:val="auto"/>
              </w:rPr>
            </w:pPr>
            <w:r>
              <w:rPr>
                <w:rFonts w:ascii="Arial" w:cs="Arial" w:eastAsia="Arial" w:hAnsi="Arial"/>
                <w:sz w:val="14"/>
                <w:szCs w:val="14"/>
                <w:b w:val="1"/>
                <w:bCs w:val="1"/>
                <w:color w:val="auto"/>
                <w:w w:val="94"/>
              </w:rPr>
              <w:t>In and/or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94"/>
              </w:rPr>
              <w:t>Realized</w:t>
            </w:r>
          </w:p>
        </w:tc>
        <w:tc>
          <w:tcPr>
            <w:tcW w:w="8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0"/>
              </w:rPr>
              <w:t>Balance as of</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January 1,</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(Out) of</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7"/>
              </w:rPr>
              <w:t>Net</w:t>
            </w: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2"/>
              </w:rPr>
              <w:t>Gains</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2012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1"/>
              </w:rPr>
              <w:t>Purchases</w:t>
            </w:r>
          </w:p>
        </w:tc>
        <w:tc>
          <w:tcPr>
            <w:tcW w:w="280" w:type="dxa"/>
            <w:vAlign w:val="bottom"/>
          </w:tcPr>
          <w:p>
            <w:pPr>
              <w:spacing w:after="0"/>
              <w:rPr>
                <w:sz w:val="14"/>
                <w:szCs w:val="14"/>
                <w:color w:val="auto"/>
              </w:rPr>
            </w:pPr>
          </w:p>
        </w:tc>
        <w:tc>
          <w:tcPr>
            <w:tcW w:w="780" w:type="dxa"/>
            <w:vAlign w:val="bottom"/>
            <w:gridSpan w:val="2"/>
          </w:tcPr>
          <w:p>
            <w:pPr>
              <w:jc w:val="right"/>
              <w:ind w:right="318"/>
              <w:spacing w:after="0"/>
              <w:rPr>
                <w:sz w:val="20"/>
                <w:szCs w:val="20"/>
                <w:color w:val="auto"/>
              </w:rPr>
            </w:pPr>
            <w:r>
              <w:rPr>
                <w:rFonts w:ascii="Arial" w:cs="Arial" w:eastAsia="Arial" w:hAnsi="Arial"/>
                <w:sz w:val="14"/>
                <w:szCs w:val="14"/>
                <w:b w:val="1"/>
                <w:bCs w:val="1"/>
                <w:color w:val="auto"/>
                <w:w w:val="98"/>
              </w:rPr>
              <w:t>Sales</w:t>
            </w:r>
          </w:p>
        </w:tc>
        <w:tc>
          <w:tcPr>
            <w:tcW w:w="780" w:type="dxa"/>
            <w:vAlign w:val="bottom"/>
            <w:gridSpan w:val="2"/>
          </w:tcPr>
          <w:p>
            <w:pPr>
              <w:jc w:val="center"/>
              <w:ind w:right="98"/>
              <w:spacing w:after="0"/>
              <w:rPr>
                <w:sz w:val="20"/>
                <w:szCs w:val="20"/>
                <w:color w:val="auto"/>
              </w:rPr>
            </w:pPr>
            <w:r>
              <w:rPr>
                <w:rFonts w:ascii="Arial" w:cs="Arial" w:eastAsia="Arial" w:hAnsi="Arial"/>
                <w:sz w:val="14"/>
                <w:szCs w:val="14"/>
                <w:b w:val="1"/>
                <w:bCs w:val="1"/>
                <w:color w:val="auto"/>
                <w:w w:val="86"/>
              </w:rPr>
              <w:t>Level 3(1)</w:t>
            </w:r>
          </w:p>
        </w:tc>
        <w:tc>
          <w:tcPr>
            <w:tcW w:w="140" w:type="dxa"/>
            <w:vAlign w:val="bottom"/>
          </w:tcPr>
          <w:p>
            <w:pPr>
              <w:spacing w:after="0"/>
              <w:rPr>
                <w:sz w:val="14"/>
                <w:szCs w:val="14"/>
                <w:color w:val="auto"/>
              </w:rPr>
            </w:pPr>
          </w:p>
        </w:tc>
        <w:tc>
          <w:tcPr>
            <w:tcW w:w="840" w:type="dxa"/>
            <w:vAlign w:val="bottom"/>
            <w:gridSpan w:val="2"/>
          </w:tcPr>
          <w:p>
            <w:pPr>
              <w:jc w:val="right"/>
              <w:ind w:right="258"/>
              <w:spacing w:after="0"/>
              <w:rPr>
                <w:sz w:val="20"/>
                <w:szCs w:val="20"/>
                <w:color w:val="auto"/>
              </w:rPr>
            </w:pPr>
            <w:r>
              <w:rPr>
                <w:rFonts w:ascii="Arial" w:cs="Arial" w:eastAsia="Arial" w:hAnsi="Arial"/>
                <w:sz w:val="14"/>
                <w:szCs w:val="14"/>
                <w:b w:val="1"/>
                <w:bCs w:val="1"/>
                <w:color w:val="auto"/>
                <w:w w:val="88"/>
              </w:rPr>
              <w:t>Other(2)</w:t>
            </w: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4"/>
              </w:rPr>
              <w:t>Income(3)</w:t>
            </w:r>
          </w:p>
        </w:tc>
        <w:tc>
          <w:tcPr>
            <w:tcW w:w="16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Income</w:t>
            </w:r>
          </w:p>
        </w:tc>
        <w:tc>
          <w:tcPr>
            <w:tcW w:w="140" w:type="dxa"/>
            <w:vAlign w:val="bottom"/>
          </w:tcPr>
          <w:p>
            <w:pPr>
              <w:spacing w:after="0"/>
              <w:rPr>
                <w:sz w:val="14"/>
                <w:szCs w:val="14"/>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0"/>
              </w:rPr>
              <w:t>(Losses)(3)</w:t>
            </w: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Types of Investments:</w:t>
            </w: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440"/>
              <w:spacing w:after="0"/>
              <w:rPr>
                <w:sz w:val="20"/>
                <w:szCs w:val="20"/>
                <w:color w:val="auto"/>
              </w:rPr>
            </w:pPr>
            <w:r>
              <w:rPr>
                <w:rFonts w:ascii="Arial" w:cs="Arial" w:eastAsia="Arial" w:hAnsi="Arial"/>
                <w:sz w:val="18"/>
                <w:szCs w:val="18"/>
                <w:color w:val="auto"/>
              </w:rPr>
              <w:t>Corporate securities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91.4</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3"/>
          </w:tcPr>
          <w:p>
            <w:pPr>
              <w:jc w:val="right"/>
              <w:ind w:right="178"/>
              <w:spacing w:after="0"/>
              <w:rPr>
                <w:sz w:val="20"/>
                <w:szCs w:val="20"/>
                <w:color w:val="auto"/>
              </w:rPr>
            </w:pPr>
            <w:r>
              <w:rPr>
                <w:rFonts w:ascii="Arial" w:cs="Arial" w:eastAsia="Arial" w:hAnsi="Arial"/>
                <w:sz w:val="18"/>
                <w:szCs w:val="18"/>
                <w:b w:val="1"/>
                <w:bCs w:val="1"/>
                <w:color w:val="auto"/>
              </w:rPr>
              <w:t>(14.4)</w:t>
            </w:r>
          </w:p>
        </w:tc>
        <w:tc>
          <w:tcPr>
            <w:tcW w:w="780" w:type="dxa"/>
            <w:vAlign w:val="bottom"/>
            <w:gridSpan w:val="2"/>
          </w:tcPr>
          <w:p>
            <w:pPr>
              <w:jc w:val="right"/>
              <w:ind w:right="58"/>
              <w:spacing w:after="0"/>
              <w:rPr>
                <w:sz w:val="20"/>
                <w:szCs w:val="20"/>
                <w:color w:val="auto"/>
              </w:rPr>
            </w:pPr>
            <w:r>
              <w:rPr>
                <w:rFonts w:ascii="Arial" w:cs="Arial" w:eastAsia="Arial" w:hAnsi="Arial"/>
                <w:sz w:val="18"/>
                <w:szCs w:val="18"/>
                <w:b w:val="1"/>
                <w:bCs w:val="1"/>
                <w:color w:val="auto"/>
              </w:rPr>
              <w:t>(38.6)</w:t>
            </w:r>
          </w:p>
        </w:tc>
        <w:tc>
          <w:tcPr>
            <w:tcW w:w="980" w:type="dxa"/>
            <w:vAlign w:val="bottom"/>
            <w:gridSpan w:val="3"/>
          </w:tcPr>
          <w:p>
            <w:pPr>
              <w:jc w:val="right"/>
              <w:ind w:right="198"/>
              <w:spacing w:after="0"/>
              <w:rPr>
                <w:sz w:val="20"/>
                <w:szCs w:val="20"/>
                <w:color w:val="auto"/>
              </w:rPr>
            </w:pPr>
            <w:r>
              <w:rPr>
                <w:rFonts w:ascii="Arial" w:cs="Arial" w:eastAsia="Arial" w:hAnsi="Arial"/>
                <w:sz w:val="18"/>
                <w:szCs w:val="18"/>
                <w:b w:val="1"/>
                <w:bCs w:val="1"/>
                <w:color w:val="auto"/>
              </w:rPr>
              <w:t>(0.5)</w:t>
            </w:r>
          </w:p>
        </w:tc>
        <w:tc>
          <w:tcPr>
            <w:tcW w:w="1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0.1</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(2.1)</w:t>
            </w: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38.9</w:t>
            </w:r>
          </w:p>
        </w:tc>
        <w:tc>
          <w:tcPr>
            <w:tcW w:w="0" w:type="dxa"/>
            <w:vAlign w:val="bottom"/>
          </w:tcPr>
          <w:p>
            <w:pPr>
              <w:spacing w:after="0"/>
              <w:rPr>
                <w:sz w:val="1"/>
                <w:szCs w:val="1"/>
                <w:color w:val="auto"/>
              </w:rPr>
            </w:pPr>
          </w:p>
        </w:tc>
      </w:tr>
      <w:tr>
        <w:trPr>
          <w:trHeight w:val="208"/>
        </w:trPr>
        <w:tc>
          <w:tcPr>
            <w:tcW w:w="3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Commercial mortgage backed</w:t>
            </w:r>
          </w:p>
        </w:tc>
        <w:tc>
          <w:tcPr>
            <w:tcW w:w="6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15.9</w:t>
            </w:r>
          </w:p>
        </w:tc>
        <w:tc>
          <w:tcPr>
            <w:tcW w:w="24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780" w:type="dxa"/>
            <w:vAlign w:val="bottom"/>
            <w:gridSpan w:val="2"/>
            <w:vMerge w:val="restart"/>
            <w:shd w:val="clear" w:color="auto" w:fill="CCEEFF"/>
          </w:tcPr>
          <w:p>
            <w:pPr>
              <w:jc w:val="right"/>
              <w:ind w:right="318"/>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vMerge w:val="restart"/>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6.3</w:t>
            </w:r>
          </w:p>
        </w:tc>
        <w:tc>
          <w:tcPr>
            <w:tcW w:w="980" w:type="dxa"/>
            <w:vAlign w:val="bottom"/>
            <w:gridSpan w:val="3"/>
            <w:vMerge w:val="restart"/>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(5.1)</w:t>
            </w:r>
          </w:p>
        </w:tc>
        <w:tc>
          <w:tcPr>
            <w:tcW w:w="140" w:type="dxa"/>
            <w:vAlign w:val="bottom"/>
            <w:shd w:val="clear" w:color="auto" w:fill="CCEEFF"/>
          </w:tcPr>
          <w:p>
            <w:pPr>
              <w:spacing w:after="0"/>
              <w:rPr>
                <w:sz w:val="18"/>
                <w:szCs w:val="18"/>
                <w:color w:val="auto"/>
              </w:rPr>
            </w:pPr>
          </w:p>
        </w:tc>
        <w:tc>
          <w:tcPr>
            <w:tcW w:w="7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18.8</w:t>
            </w:r>
          </w:p>
        </w:tc>
        <w:tc>
          <w:tcPr>
            <w:tcW w:w="0" w:type="dxa"/>
            <w:vAlign w:val="bottom"/>
          </w:tcPr>
          <w:p>
            <w:pPr>
              <w:spacing w:after="0"/>
              <w:rPr>
                <w:sz w:val="1"/>
                <w:szCs w:val="1"/>
                <w:color w:val="auto"/>
              </w:rPr>
            </w:pPr>
          </w:p>
        </w:tc>
      </w:tr>
      <w:tr>
        <w:trPr>
          <w:trHeight w:val="224"/>
        </w:trPr>
        <w:tc>
          <w:tcPr>
            <w:tcW w:w="32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securities</w:t>
            </w:r>
          </w:p>
        </w:tc>
        <w:tc>
          <w:tcPr>
            <w:tcW w:w="6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980" w:type="dxa"/>
            <w:vAlign w:val="bottom"/>
            <w:gridSpan w:val="3"/>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440"/>
              <w:spacing w:after="0"/>
              <w:rPr>
                <w:sz w:val="20"/>
                <w:szCs w:val="20"/>
                <w:color w:val="auto"/>
              </w:rPr>
            </w:pPr>
            <w:r>
              <w:rPr>
                <w:rFonts w:ascii="Arial" w:cs="Arial" w:eastAsia="Arial" w:hAnsi="Arial"/>
                <w:sz w:val="18"/>
                <w:szCs w:val="18"/>
                <w:color w:val="auto"/>
              </w:rPr>
              <w:t>Other debt obligations</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79.9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780" w:type="dxa"/>
            <w:vAlign w:val="bottom"/>
            <w:gridSpan w:val="2"/>
          </w:tcPr>
          <w:p>
            <w:pPr>
              <w:jc w:val="right"/>
              <w:ind w:right="118"/>
              <w:spacing w:after="0"/>
              <w:rPr>
                <w:sz w:val="20"/>
                <w:szCs w:val="20"/>
                <w:color w:val="auto"/>
              </w:rPr>
            </w:pPr>
            <w:r>
              <w:rPr>
                <w:rFonts w:ascii="Arial" w:cs="Arial" w:eastAsia="Arial" w:hAnsi="Arial"/>
                <w:sz w:val="18"/>
                <w:szCs w:val="18"/>
                <w:b w:val="1"/>
                <w:bCs w:val="1"/>
                <w:color w:val="auto"/>
              </w:rPr>
              <w:t>13.9</w:t>
            </w:r>
          </w:p>
        </w:tc>
        <w:tc>
          <w:tcPr>
            <w:tcW w:w="980" w:type="dxa"/>
            <w:vAlign w:val="bottom"/>
            <w:gridSpan w:val="3"/>
          </w:tcPr>
          <w:p>
            <w:pPr>
              <w:jc w:val="right"/>
              <w:ind w:right="198"/>
              <w:spacing w:after="0"/>
              <w:rPr>
                <w:sz w:val="20"/>
                <w:szCs w:val="20"/>
                <w:color w:val="auto"/>
              </w:rPr>
            </w:pPr>
            <w:r>
              <w:rPr>
                <w:rFonts w:ascii="Arial" w:cs="Arial" w:eastAsia="Arial" w:hAnsi="Arial"/>
                <w:sz w:val="18"/>
                <w:szCs w:val="18"/>
                <w:b w:val="1"/>
                <w:bCs w:val="1"/>
                <w:color w:val="auto"/>
              </w:rPr>
              <w:t>(25.1)</w:t>
            </w:r>
          </w:p>
        </w:tc>
        <w:tc>
          <w:tcPr>
            <w:tcW w:w="14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73.0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7"/>
              </w:rPr>
              <w:t>Total fixed maturities, available-for-sale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(14.4)</w:t>
            </w:r>
          </w:p>
        </w:tc>
        <w:tc>
          <w:tcPr>
            <w:tcW w:w="78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(18.4)</w:t>
            </w:r>
          </w:p>
        </w:tc>
        <w:tc>
          <w:tcPr>
            <w:tcW w:w="980" w:type="dxa"/>
            <w:vAlign w:val="bottom"/>
            <w:gridSpan w:val="3"/>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(30.7)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130.7</w:t>
            </w:r>
          </w:p>
        </w:tc>
        <w:tc>
          <w:tcPr>
            <w:tcW w:w="0" w:type="dxa"/>
            <w:vAlign w:val="bottom"/>
          </w:tcPr>
          <w:p>
            <w:pPr>
              <w:spacing w:after="0"/>
              <w:rPr>
                <w:sz w:val="1"/>
                <w:szCs w:val="1"/>
                <w:color w:val="auto"/>
              </w:rPr>
            </w:pPr>
          </w:p>
        </w:tc>
      </w:tr>
      <w:tr>
        <w:trPr>
          <w:trHeight w:val="208"/>
        </w:trPr>
        <w:tc>
          <w:tcPr>
            <w:tcW w:w="3280" w:type="dxa"/>
            <w:vAlign w:val="bottom"/>
            <w:gridSpan w:val="2"/>
          </w:tcPr>
          <w:p>
            <w:pPr>
              <w:ind w:left="220"/>
              <w:spacing w:after="0"/>
              <w:rPr>
                <w:sz w:val="20"/>
                <w:szCs w:val="20"/>
                <w:color w:val="auto"/>
              </w:rPr>
            </w:pPr>
            <w:r>
              <w:rPr>
                <w:rFonts w:ascii="Arial" w:cs="Arial" w:eastAsia="Arial" w:hAnsi="Arial"/>
                <w:sz w:val="18"/>
                <w:szCs w:val="18"/>
                <w:color w:val="auto"/>
                <w:w w:val="98"/>
              </w:rPr>
              <w:t>Marketable equity securities, available-</w:t>
            </w: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5.0</w:t>
            </w:r>
          </w:p>
        </w:tc>
        <w:tc>
          <w:tcPr>
            <w:tcW w:w="2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780" w:type="dxa"/>
            <w:vAlign w:val="bottom"/>
            <w:gridSpan w:val="2"/>
            <w:vMerge w:val="restart"/>
          </w:tcPr>
          <w:p>
            <w:pPr>
              <w:jc w:val="right"/>
              <w:ind w:right="318"/>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vMerge w:val="restart"/>
          </w:tcPr>
          <w:p>
            <w:pPr>
              <w:jc w:val="right"/>
              <w:ind w:right="198"/>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40" w:type="dxa"/>
            <w:vAlign w:val="bottom"/>
            <w:gridSpan w:val="2"/>
            <w:vMerge w:val="restart"/>
          </w:tcPr>
          <w:p>
            <w:pPr>
              <w:jc w:val="right"/>
              <w:ind w:right="338"/>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72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23"/>
        </w:trPr>
        <w:tc>
          <w:tcPr>
            <w:tcW w:w="3280" w:type="dxa"/>
            <w:vAlign w:val="bottom"/>
            <w:gridSpan w:val="2"/>
          </w:tcPr>
          <w:p>
            <w:pPr>
              <w:ind w:left="440"/>
              <w:spacing w:after="0"/>
              <w:rPr>
                <w:sz w:val="20"/>
                <w:szCs w:val="20"/>
                <w:color w:val="auto"/>
              </w:rPr>
            </w:pPr>
            <w:r>
              <w:rPr>
                <w:rFonts w:ascii="Arial" w:cs="Arial" w:eastAsia="Arial" w:hAnsi="Arial"/>
                <w:sz w:val="18"/>
                <w:szCs w:val="18"/>
                <w:color w:val="auto"/>
              </w:rPr>
              <w:t>for-sale</w:t>
            </w:r>
          </w:p>
        </w:tc>
        <w:tc>
          <w:tcPr>
            <w:tcW w:w="6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Marketable equity securities, trading</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0.6</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(0.4)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16"/>
        </w:trPr>
        <w:tc>
          <w:tcPr>
            <w:tcW w:w="3280" w:type="dxa"/>
            <w:vAlign w:val="bottom"/>
            <w:gridSpan w:val="2"/>
          </w:tcPr>
          <w:p>
            <w:pPr>
              <w:ind w:left="220"/>
              <w:spacing w:after="0"/>
              <w:rPr>
                <w:sz w:val="20"/>
                <w:szCs w:val="20"/>
                <w:color w:val="auto"/>
              </w:rPr>
            </w:pPr>
            <w:r>
              <w:rPr>
                <w:rFonts w:ascii="Arial" w:cs="Arial" w:eastAsia="Arial" w:hAnsi="Arial"/>
                <w:sz w:val="18"/>
                <w:szCs w:val="18"/>
                <w:color w:val="auto"/>
              </w:rPr>
              <w:t>Investments in limited partnerships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27.8</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9.5</w:t>
            </w:r>
          </w:p>
        </w:tc>
        <w:tc>
          <w:tcPr>
            <w:tcW w:w="280" w:type="dxa"/>
            <w:vAlign w:val="bottom"/>
          </w:tcPr>
          <w:p>
            <w:pPr>
              <w:spacing w:after="0"/>
              <w:rPr>
                <w:sz w:val="18"/>
                <w:szCs w:val="18"/>
                <w:color w:val="auto"/>
              </w:rPr>
            </w:pPr>
          </w:p>
        </w:tc>
        <w:tc>
          <w:tcPr>
            <w:tcW w:w="780" w:type="dxa"/>
            <w:vAlign w:val="bottom"/>
            <w:gridSpan w:val="2"/>
          </w:tcPr>
          <w:p>
            <w:pPr>
              <w:jc w:val="right"/>
              <w:ind w:right="318"/>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198"/>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3"/>
          </w:tcPr>
          <w:p>
            <w:pPr>
              <w:jc w:val="right"/>
              <w:ind w:right="198"/>
              <w:spacing w:after="0"/>
              <w:rPr>
                <w:sz w:val="20"/>
                <w:szCs w:val="20"/>
                <w:color w:val="auto"/>
              </w:rPr>
            </w:pPr>
            <w:r>
              <w:rPr>
                <w:rFonts w:ascii="Arial" w:cs="Arial" w:eastAsia="Arial" w:hAnsi="Arial"/>
                <w:sz w:val="18"/>
                <w:szCs w:val="18"/>
                <w:b w:val="1"/>
                <w:bCs w:val="1"/>
                <w:color w:val="auto"/>
              </w:rPr>
              <w:t>(11.0)</w:t>
            </w:r>
          </w:p>
        </w:tc>
        <w:tc>
          <w:tcPr>
            <w:tcW w:w="1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28.6</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invested assets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060" w:type="dxa"/>
            <w:vAlign w:val="bottom"/>
            <w:gridSpan w:val="3"/>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(3.1)</w:t>
            </w:r>
          </w:p>
        </w:tc>
        <w:tc>
          <w:tcPr>
            <w:tcW w:w="78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Total Level 3</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225.4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  14.</w:t>
            </w:r>
            <w:r>
              <w:rPr>
                <w:rFonts w:ascii="Arial" w:cs="Arial" w:eastAsia="Arial" w:hAnsi="Arial"/>
                <w:sz w:val="18"/>
                <w:szCs w:val="18"/>
                <w:b w:val="1"/>
                <w:bCs w:val="1"/>
                <w:u w:val="single" w:color="auto"/>
                <w:color w:val="auto"/>
              </w:rPr>
              <w:t>9</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(17.5</w:t>
            </w:r>
          </w:p>
        </w:tc>
        <w:tc>
          <w:tcPr>
            <w:tcW w:w="320" w:type="dxa"/>
            <w:vAlign w:val="bottom"/>
          </w:tcPr>
          <w:p>
            <w:pPr>
              <w:jc w:val="right"/>
              <w:ind w:right="178"/>
              <w:spacing w:after="0"/>
              <w:rPr>
                <w:sz w:val="20"/>
                <w:szCs w:val="20"/>
                <w:color w:val="auto"/>
              </w:rPr>
            </w:pPr>
            <w:r>
              <w:rPr>
                <w:rFonts w:ascii="Arial" w:cs="Arial" w:eastAsia="Arial" w:hAnsi="Arial"/>
                <w:sz w:val="16"/>
                <w:szCs w:val="16"/>
                <w:b w:val="1"/>
                <w:bCs w:val="1"/>
                <w:color w:val="auto"/>
                <w:w w:val="74"/>
              </w:rPr>
              <w:t>)</w:t>
            </w: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(18.8</w:t>
            </w:r>
          </w:p>
        </w:tc>
        <w:tc>
          <w:tcPr>
            <w:tcW w:w="200" w:type="dxa"/>
            <w:vAlign w:val="bottom"/>
          </w:tcPr>
          <w:p>
            <w:pPr>
              <w:jc w:val="right"/>
              <w:ind w:right="58"/>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(41.7</w:t>
            </w:r>
          </w:p>
        </w:tc>
        <w:tc>
          <w:tcPr>
            <w:tcW w:w="340" w:type="dxa"/>
            <w:vAlign w:val="bottom"/>
          </w:tcPr>
          <w:p>
            <w:pPr>
              <w:jc w:val="right"/>
              <w:ind w:right="198"/>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w:t>
            </w:r>
            <w:r>
              <w:rPr>
                <w:rFonts w:ascii="Arial" w:cs="Arial" w:eastAsia="Arial" w:hAnsi="Arial"/>
                <w:sz w:val="18"/>
                <w:szCs w:val="18"/>
                <w:b w:val="1"/>
                <w:bCs w:val="1"/>
                <w:u w:val="single" w:color="auto"/>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86"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Transfers into and/or out of Level 3 are reported at the value as of the beginning of the period in which the transfer occurs. Gross transfers into Level 3 were $50.9 for the year ended December 31, 2012. Gross transfers out of Level 3 were </w:t>
      </w:r>
      <w:r>
        <w:rPr>
          <w:rFonts w:ascii="Arial" w:cs="Arial" w:eastAsia="Arial" w:hAnsi="Arial"/>
          <w:sz w:val="16"/>
          <w:szCs w:val="16"/>
          <w:b w:val="1"/>
          <w:bCs w:val="1"/>
          <w:color w:val="auto"/>
        </w:rPr>
        <w:t>$69.7</w:t>
      </w:r>
      <w:r>
        <w:rPr>
          <w:rFonts w:ascii="Arial" w:cs="Arial" w:eastAsia="Arial" w:hAnsi="Arial"/>
          <w:sz w:val="16"/>
          <w:szCs w:val="16"/>
          <w:color w:val="auto"/>
        </w:rPr>
        <w:t xml:space="preserve"> for the year ended December 31, 2012.</w:t>
      </w: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Other is comprised of transactions such as pay downs, calls, amortization and redemptions.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Realized and unrealized gains and losses for investments in limited partnerships are included in net investment income.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presents additional information about assets measured at fair value on a recurring basis and for which the Company has utilized significant unobservable inputs (Level 3) to determine fair value for the year ended December 31,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3"/>
              </w:rPr>
              <w:t>Unrealized Gain (Loss)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79"/>
              </w:rPr>
              <w:t>Balance as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Transfers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Included in: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76"/>
              <w:spacing w:after="0" w:line="129" w:lineRule="exact"/>
              <w:rPr>
                <w:sz w:val="20"/>
                <w:szCs w:val="20"/>
                <w:color w:val="auto"/>
              </w:rPr>
            </w:pPr>
            <w:r>
              <w:rPr>
                <w:rFonts w:ascii="Arial" w:cs="Arial" w:eastAsia="Arial" w:hAnsi="Arial"/>
                <w:sz w:val="14"/>
                <w:szCs w:val="14"/>
                <w:b w:val="1"/>
                <w:bCs w:val="1"/>
                <w:color w:val="auto"/>
              </w:rPr>
              <w:t>of</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In and/or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jc w:val="right"/>
              <w:ind w:right="298"/>
              <w:spacing w:after="0" w:line="129" w:lineRule="exact"/>
              <w:rPr>
                <w:sz w:val="20"/>
                <w:szCs w:val="20"/>
                <w:color w:val="auto"/>
              </w:rPr>
            </w:pPr>
            <w:r>
              <w:rPr>
                <w:rFonts w:ascii="Arial" w:cs="Arial" w:eastAsia="Arial" w:hAnsi="Arial"/>
                <w:sz w:val="14"/>
                <w:szCs w:val="14"/>
                <w:b w:val="1"/>
                <w:bCs w:val="1"/>
                <w:color w:val="auto"/>
                <w:w w:val="94"/>
              </w:rPr>
              <w:t>Realized</w:t>
            </w:r>
          </w:p>
        </w:tc>
        <w:tc>
          <w:tcPr>
            <w:tcW w:w="8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0"/>
              </w:rPr>
              <w:t>Balance as of</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January 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(Out)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Net</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78"/>
              <w:spacing w:after="0" w:line="149" w:lineRule="exact"/>
              <w:rPr>
                <w:sz w:val="20"/>
                <w:szCs w:val="20"/>
                <w:color w:val="auto"/>
              </w:rPr>
            </w:pPr>
            <w:r>
              <w:rPr>
                <w:rFonts w:ascii="Arial" w:cs="Arial" w:eastAsia="Arial" w:hAnsi="Arial"/>
                <w:sz w:val="14"/>
                <w:szCs w:val="14"/>
                <w:b w:val="1"/>
                <w:bCs w:val="1"/>
                <w:color w:val="auto"/>
                <w:w w:val="92"/>
              </w:rPr>
              <w:t>Gains</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96"/>
              <w:spacing w:after="0"/>
              <w:rPr>
                <w:sz w:val="20"/>
                <w:szCs w:val="20"/>
                <w:color w:val="auto"/>
              </w:rPr>
            </w:pPr>
            <w:r>
              <w:rPr>
                <w:rFonts w:ascii="Arial" w:cs="Arial" w:eastAsia="Arial" w:hAnsi="Arial"/>
                <w:sz w:val="14"/>
                <w:szCs w:val="14"/>
                <w:b w:val="1"/>
                <w:bCs w:val="1"/>
                <w:color w:val="auto"/>
                <w:w w:val="89"/>
              </w:rPr>
              <w:t>2011</w:t>
            </w:r>
          </w:p>
        </w:tc>
        <w:tc>
          <w:tcPr>
            <w:tcW w:w="2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79"/>
              </w:rPr>
              <w:t>Purchases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318"/>
              <w:spacing w:after="0"/>
              <w:rPr>
                <w:sz w:val="20"/>
                <w:szCs w:val="20"/>
                <w:color w:val="auto"/>
              </w:rPr>
            </w:pPr>
            <w:r>
              <w:rPr>
                <w:rFonts w:ascii="Arial" w:cs="Arial" w:eastAsia="Arial" w:hAnsi="Arial"/>
                <w:sz w:val="14"/>
                <w:szCs w:val="14"/>
                <w:b w:val="1"/>
                <w:bCs w:val="1"/>
                <w:color w:val="auto"/>
                <w:w w:val="76"/>
              </w:rPr>
              <w:t>Sales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Level 3(1)</w:t>
            </w:r>
          </w:p>
        </w:tc>
        <w:tc>
          <w:tcPr>
            <w:tcW w:w="140" w:type="dxa"/>
            <w:vAlign w:val="bottom"/>
          </w:tcPr>
          <w:p>
            <w:pPr>
              <w:spacing w:after="0"/>
              <w:rPr>
                <w:sz w:val="14"/>
                <w:szCs w:val="14"/>
                <w:color w:val="auto"/>
              </w:rPr>
            </w:pPr>
          </w:p>
        </w:tc>
        <w:tc>
          <w:tcPr>
            <w:tcW w:w="840" w:type="dxa"/>
            <w:vAlign w:val="bottom"/>
            <w:gridSpan w:val="3"/>
          </w:tcPr>
          <w:p>
            <w:pPr>
              <w:jc w:val="right"/>
              <w:ind w:right="258"/>
              <w:spacing w:after="0"/>
              <w:rPr>
                <w:sz w:val="20"/>
                <w:szCs w:val="20"/>
                <w:color w:val="auto"/>
              </w:rPr>
            </w:pPr>
            <w:r>
              <w:rPr>
                <w:rFonts w:ascii="Arial" w:cs="Arial" w:eastAsia="Arial" w:hAnsi="Arial"/>
                <w:sz w:val="14"/>
                <w:szCs w:val="14"/>
                <w:b w:val="1"/>
                <w:bCs w:val="1"/>
                <w:color w:val="auto"/>
                <w:w w:val="88"/>
              </w:rPr>
              <w:t>Other(2)</w:t>
            </w:r>
          </w:p>
        </w:tc>
        <w:tc>
          <w:tcPr>
            <w:tcW w:w="9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4"/>
              </w:rPr>
              <w:t>Income(3)</w:t>
            </w:r>
          </w:p>
        </w:tc>
        <w:tc>
          <w:tcPr>
            <w:tcW w:w="16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Income</w:t>
            </w:r>
          </w:p>
        </w:tc>
        <w:tc>
          <w:tcPr>
            <w:tcW w:w="140" w:type="dxa"/>
            <w:vAlign w:val="bottom"/>
          </w:tcPr>
          <w:p>
            <w:pPr>
              <w:spacing w:after="0"/>
              <w:rPr>
                <w:sz w:val="14"/>
                <w:szCs w:val="14"/>
                <w:color w:val="auto"/>
              </w:rPr>
            </w:pPr>
          </w:p>
        </w:tc>
        <w:tc>
          <w:tcPr>
            <w:tcW w:w="940" w:type="dxa"/>
            <w:vAlign w:val="bottom"/>
            <w:gridSpan w:val="3"/>
          </w:tcPr>
          <w:p>
            <w:pPr>
              <w:jc w:val="right"/>
              <w:ind w:right="238"/>
              <w:spacing w:after="0"/>
              <w:rPr>
                <w:sz w:val="20"/>
                <w:szCs w:val="20"/>
                <w:color w:val="auto"/>
              </w:rPr>
            </w:pPr>
            <w:r>
              <w:rPr>
                <w:rFonts w:ascii="Arial" w:cs="Arial" w:eastAsia="Arial" w:hAnsi="Arial"/>
                <w:sz w:val="14"/>
                <w:szCs w:val="14"/>
                <w:b w:val="1"/>
                <w:bCs w:val="1"/>
                <w:color w:val="auto"/>
                <w:w w:val="80"/>
              </w:rPr>
              <w:t>(Losses)(3)</w:t>
            </w: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Types of Investments: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ind w:left="440"/>
              <w:spacing w:after="0"/>
              <w:rPr>
                <w:sz w:val="20"/>
                <w:szCs w:val="20"/>
                <w:color w:val="auto"/>
              </w:rPr>
            </w:pPr>
            <w:r>
              <w:rPr>
                <w:rFonts w:ascii="Arial" w:cs="Arial" w:eastAsia="Arial" w:hAnsi="Arial"/>
                <w:sz w:val="18"/>
                <w:szCs w:val="18"/>
                <w:color w:val="auto"/>
              </w:rPr>
              <w:t>Corporate securities</w:t>
            </w:r>
          </w:p>
        </w:tc>
        <w:tc>
          <w:tcPr>
            <w:tcW w:w="1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115.5</w:t>
            </w:r>
          </w:p>
        </w:tc>
        <w:tc>
          <w:tcPr>
            <w:tcW w:w="48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178"/>
              <w:spacing w:after="0"/>
              <w:rPr>
                <w:sz w:val="20"/>
                <w:szCs w:val="20"/>
                <w:color w:val="auto"/>
              </w:rPr>
            </w:pPr>
            <w:r>
              <w:rPr>
                <w:rFonts w:ascii="Arial" w:cs="Arial" w:eastAsia="Arial" w:hAnsi="Arial"/>
                <w:sz w:val="18"/>
                <w:szCs w:val="18"/>
                <w:b w:val="1"/>
                <w:bCs w:val="1"/>
                <w:color w:val="auto"/>
              </w:rPr>
              <w:t>(9.8)</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38"/>
              <w:spacing w:after="0"/>
              <w:rPr>
                <w:sz w:val="20"/>
                <w:szCs w:val="20"/>
                <w:color w:val="auto"/>
              </w:rPr>
            </w:pPr>
            <w:r>
              <w:rPr>
                <w:rFonts w:ascii="Arial" w:cs="Arial" w:eastAsia="Arial" w:hAnsi="Arial"/>
                <w:sz w:val="18"/>
                <w:szCs w:val="18"/>
                <w:b w:val="1"/>
                <w:bCs w:val="1"/>
                <w:color w:val="auto"/>
              </w:rPr>
              <w:t>(14.7)</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78"/>
              <w:spacing w:after="0"/>
              <w:rPr>
                <w:sz w:val="20"/>
                <w:szCs w:val="20"/>
                <w:color w:val="auto"/>
              </w:rPr>
            </w:pPr>
            <w:r>
              <w:rPr>
                <w:rFonts w:ascii="Arial" w:cs="Arial" w:eastAsia="Arial" w:hAnsi="Arial"/>
                <w:sz w:val="18"/>
                <w:szCs w:val="18"/>
                <w:b w:val="1"/>
                <w:bCs w:val="1"/>
                <w:color w:val="auto"/>
              </w:rPr>
              <w:t>(7.1)</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(0.1)</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8.7</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78"/>
              <w:spacing w:after="0"/>
              <w:rPr>
                <w:sz w:val="20"/>
                <w:szCs w:val="20"/>
                <w:color w:val="auto"/>
              </w:rPr>
            </w:pPr>
            <w:r>
              <w:rPr>
                <w:rFonts w:ascii="Arial" w:cs="Arial" w:eastAsia="Arial" w:hAnsi="Arial"/>
                <w:sz w:val="18"/>
                <w:szCs w:val="18"/>
                <w:b w:val="1"/>
                <w:bCs w:val="1"/>
                <w:color w:val="auto"/>
              </w:rPr>
              <w:t>(2.1)</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91.4</w:t>
            </w:r>
          </w:p>
        </w:tc>
        <w:tc>
          <w:tcPr>
            <w:tcW w:w="0" w:type="dxa"/>
            <w:vAlign w:val="bottom"/>
          </w:tcPr>
          <w:p>
            <w:pPr>
              <w:spacing w:after="0"/>
              <w:rPr>
                <w:sz w:val="1"/>
                <w:szCs w:val="1"/>
                <w:color w:val="auto"/>
              </w:rPr>
            </w:pPr>
          </w:p>
        </w:tc>
      </w:tr>
      <w:tr>
        <w:trPr>
          <w:trHeight w:val="208"/>
        </w:trPr>
        <w:tc>
          <w:tcPr>
            <w:tcW w:w="3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Commercial mortgage backed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vMerge w:val="restart"/>
            <w:shd w:val="clear" w:color="auto" w:fill="CCEEFF"/>
          </w:tcPr>
          <w:p>
            <w:pPr>
              <w:jc w:val="right"/>
              <w:ind w:right="318"/>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vMerge w:val="restart"/>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restart"/>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(3.3)</w:t>
            </w:r>
          </w:p>
        </w:tc>
        <w:tc>
          <w:tcPr>
            <w:tcW w:w="140" w:type="dxa"/>
            <w:vAlign w:val="bottom"/>
            <w:shd w:val="clear" w:color="auto" w:fill="CCEEFF"/>
          </w:tcPr>
          <w:p>
            <w:pPr>
              <w:spacing w:after="0"/>
              <w:rPr>
                <w:sz w:val="18"/>
                <w:szCs w:val="18"/>
                <w:color w:val="auto"/>
              </w:rPr>
            </w:pPr>
          </w:p>
        </w:tc>
        <w:tc>
          <w:tcPr>
            <w:tcW w:w="78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318"/>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15.9</w:t>
            </w:r>
          </w:p>
        </w:tc>
        <w:tc>
          <w:tcPr>
            <w:tcW w:w="0" w:type="dxa"/>
            <w:vAlign w:val="bottom"/>
          </w:tcPr>
          <w:p>
            <w:pPr>
              <w:spacing w:after="0"/>
              <w:rPr>
                <w:sz w:val="1"/>
                <w:szCs w:val="1"/>
                <w:color w:val="auto"/>
              </w:rPr>
            </w:pPr>
          </w:p>
        </w:tc>
      </w:tr>
      <w:tr>
        <w:trPr>
          <w:trHeight w:val="224"/>
        </w:trPr>
        <w:tc>
          <w:tcPr>
            <w:tcW w:w="32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securities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ind w:left="440"/>
              <w:spacing w:after="0"/>
              <w:rPr>
                <w:sz w:val="20"/>
                <w:szCs w:val="20"/>
                <w:color w:val="auto"/>
              </w:rPr>
            </w:pPr>
            <w:r>
              <w:rPr>
                <w:rFonts w:ascii="Arial" w:cs="Arial" w:eastAsia="Arial" w:hAnsi="Arial"/>
                <w:sz w:val="18"/>
                <w:szCs w:val="18"/>
                <w:color w:val="auto"/>
              </w:rPr>
              <w:t>Other debt obligations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90.1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78"/>
              <w:spacing w:after="0"/>
              <w:rPr>
                <w:sz w:val="20"/>
                <w:szCs w:val="20"/>
                <w:color w:val="auto"/>
              </w:rPr>
            </w:pPr>
            <w:r>
              <w:rPr>
                <w:rFonts w:ascii="Arial" w:cs="Arial" w:eastAsia="Arial" w:hAnsi="Arial"/>
                <w:sz w:val="18"/>
                <w:szCs w:val="18"/>
                <w:b w:val="1"/>
                <w:bCs w:val="1"/>
                <w:color w:val="auto"/>
                <w:w w:val="89"/>
              </w:rPr>
              <w:t>(10.8)</w:t>
            </w:r>
          </w:p>
        </w:tc>
        <w:tc>
          <w:tcPr>
            <w:tcW w:w="140" w:type="dxa"/>
            <w:vAlign w:val="bottom"/>
          </w:tcPr>
          <w:p>
            <w:pPr>
              <w:spacing w:after="0"/>
              <w:rPr>
                <w:sz w:val="18"/>
                <w:szCs w:val="18"/>
                <w:color w:val="auto"/>
              </w:rPr>
            </w:pPr>
          </w:p>
        </w:tc>
        <w:tc>
          <w:tcPr>
            <w:tcW w:w="620" w:type="dxa"/>
            <w:vAlign w:val="bottom"/>
            <w:gridSpan w:val="2"/>
          </w:tcPr>
          <w:p>
            <w:pPr>
              <w:jc w:val="right"/>
              <w:ind w:right="198"/>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78"/>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78"/>
              <w:spacing w:after="0"/>
              <w:rPr>
                <w:sz w:val="20"/>
                <w:szCs w:val="20"/>
                <w:color w:val="auto"/>
              </w:rPr>
            </w:pPr>
            <w:r>
              <w:rPr>
                <w:rFonts w:ascii="Arial" w:cs="Arial" w:eastAsia="Arial" w:hAnsi="Arial"/>
                <w:sz w:val="18"/>
                <w:szCs w:val="18"/>
                <w:b w:val="1"/>
                <w:bCs w:val="1"/>
                <w:color w:val="auto"/>
              </w:rPr>
              <w:t>(2.4)</w:t>
            </w: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79.9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6"/>
              </w:rPr>
              <w:t>Total fixed maturities, available-for-sale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w w:val="89"/>
              </w:rPr>
              <w:t>(20.6)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w w:val="93"/>
              </w:rPr>
              <w:t>(11.4)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(4.5)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187.2</w:t>
            </w:r>
          </w:p>
        </w:tc>
        <w:tc>
          <w:tcPr>
            <w:tcW w:w="0" w:type="dxa"/>
            <w:vAlign w:val="bottom"/>
          </w:tcPr>
          <w:p>
            <w:pPr>
              <w:spacing w:after="0"/>
              <w:rPr>
                <w:sz w:val="1"/>
                <w:szCs w:val="1"/>
                <w:color w:val="auto"/>
              </w:rPr>
            </w:pPr>
          </w:p>
        </w:tc>
      </w:tr>
      <w:tr>
        <w:trPr>
          <w:trHeight w:val="208"/>
        </w:trPr>
        <w:tc>
          <w:tcPr>
            <w:tcW w:w="3260" w:type="dxa"/>
            <w:vAlign w:val="bottom"/>
            <w:gridSpan w:val="2"/>
          </w:tcPr>
          <w:p>
            <w:pPr>
              <w:ind w:left="220"/>
              <w:spacing w:after="0"/>
              <w:rPr>
                <w:sz w:val="20"/>
                <w:szCs w:val="20"/>
                <w:color w:val="auto"/>
              </w:rPr>
            </w:pPr>
            <w:r>
              <w:rPr>
                <w:rFonts w:ascii="Arial" w:cs="Arial" w:eastAsia="Arial" w:hAnsi="Arial"/>
                <w:sz w:val="18"/>
                <w:szCs w:val="18"/>
                <w:color w:val="auto"/>
                <w:w w:val="97"/>
              </w:rPr>
              <w:t>Marketable equity securities, available-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vMerge w:val="restart"/>
          </w:tcPr>
          <w:p>
            <w:pPr>
              <w:jc w:val="right"/>
              <w:ind w:right="318"/>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620" w:type="dxa"/>
            <w:vAlign w:val="bottom"/>
            <w:gridSpan w:val="2"/>
            <w:vMerge w:val="restart"/>
          </w:tcPr>
          <w:p>
            <w:pPr>
              <w:jc w:val="right"/>
              <w:ind w:right="198"/>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restart"/>
          </w:tcPr>
          <w:p>
            <w:pPr>
              <w:jc w:val="right"/>
              <w:ind w:right="338"/>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restart"/>
          </w:tcPr>
          <w:p>
            <w:pPr>
              <w:jc w:val="right"/>
              <w:ind w:right="318"/>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23"/>
        </w:trPr>
        <w:tc>
          <w:tcPr>
            <w:tcW w:w="3260" w:type="dxa"/>
            <w:vAlign w:val="bottom"/>
            <w:gridSpan w:val="2"/>
          </w:tcPr>
          <w:p>
            <w:pPr>
              <w:ind w:left="440"/>
              <w:spacing w:after="0"/>
              <w:rPr>
                <w:sz w:val="20"/>
                <w:szCs w:val="20"/>
                <w:color w:val="auto"/>
              </w:rPr>
            </w:pPr>
            <w:r>
              <w:rPr>
                <w:rFonts w:ascii="Arial" w:cs="Arial" w:eastAsia="Arial" w:hAnsi="Arial"/>
                <w:sz w:val="18"/>
                <w:szCs w:val="18"/>
                <w:color w:val="auto"/>
              </w:rPr>
              <w:t>for-sale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Marketable equity securities, trading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(0.3)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(0.5)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(0.4)</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16"/>
        </w:trPr>
        <w:tc>
          <w:tcPr>
            <w:tcW w:w="3260" w:type="dxa"/>
            <w:vAlign w:val="bottom"/>
            <w:gridSpan w:val="2"/>
          </w:tcPr>
          <w:p>
            <w:pPr>
              <w:ind w:left="220"/>
              <w:spacing w:after="0"/>
              <w:rPr>
                <w:sz w:val="20"/>
                <w:szCs w:val="20"/>
                <w:color w:val="auto"/>
              </w:rPr>
            </w:pPr>
            <w:r>
              <w:rPr>
                <w:rFonts w:ascii="Arial" w:cs="Arial" w:eastAsia="Arial" w:hAnsi="Arial"/>
                <w:sz w:val="18"/>
                <w:szCs w:val="18"/>
                <w:color w:val="auto"/>
              </w:rPr>
              <w:t>Investments in limited partnerships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36.5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18"/>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98"/>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78"/>
              <w:spacing w:after="0"/>
              <w:rPr>
                <w:sz w:val="20"/>
                <w:szCs w:val="20"/>
                <w:color w:val="auto"/>
              </w:rPr>
            </w:pPr>
            <w:r>
              <w:rPr>
                <w:rFonts w:ascii="Arial" w:cs="Arial" w:eastAsia="Arial" w:hAnsi="Arial"/>
                <w:sz w:val="18"/>
                <w:szCs w:val="18"/>
                <w:b w:val="1"/>
                <w:bCs w:val="1"/>
                <w:color w:val="auto"/>
                <w:w w:val="93"/>
              </w:rPr>
              <w:t>(17.5)</w:t>
            </w:r>
          </w:p>
        </w:tc>
        <w:tc>
          <w:tcPr>
            <w:tcW w:w="1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3.4</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27.8</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invested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(0.1)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0.6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(1.7)</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23"/>
        </w:trPr>
        <w:tc>
          <w:tcPr>
            <w:tcW w:w="3260" w:type="dxa"/>
            <w:vAlign w:val="bottom"/>
            <w:gridSpan w:val="2"/>
          </w:tcPr>
          <w:p>
            <w:pPr>
              <w:spacing w:after="0"/>
              <w:rPr>
                <w:sz w:val="20"/>
                <w:szCs w:val="20"/>
                <w:color w:val="auto"/>
              </w:rPr>
            </w:pPr>
            <w:r>
              <w:rPr>
                <w:rFonts w:ascii="Arial" w:cs="Arial" w:eastAsia="Arial" w:hAnsi="Arial"/>
                <w:sz w:val="18"/>
                <w:szCs w:val="18"/>
                <w:color w:val="auto"/>
              </w:rPr>
              <w:t>Total Level 3</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267.4</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(21.0</w:t>
            </w:r>
          </w:p>
        </w:tc>
        <w:tc>
          <w:tcPr>
            <w:tcW w:w="320" w:type="dxa"/>
            <w:vAlign w:val="bottom"/>
          </w:tcPr>
          <w:p>
            <w:pPr>
              <w:jc w:val="right"/>
              <w:ind w:right="178"/>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w:t>
            </w:r>
          </w:p>
        </w:tc>
        <w:tc>
          <w:tcPr>
            <w:tcW w:w="180" w:type="dxa"/>
            <w:vAlign w:val="bottom"/>
          </w:tcPr>
          <w:p>
            <w:pPr>
              <w:jc w:val="right"/>
              <w:ind w:right="38"/>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(29.2</w:t>
            </w:r>
          </w:p>
        </w:tc>
        <w:tc>
          <w:tcPr>
            <w:tcW w:w="320" w:type="dxa"/>
            <w:vAlign w:val="bottom"/>
          </w:tcPr>
          <w:p>
            <w:pPr>
              <w:jc w:val="right"/>
              <w:ind w:right="178"/>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320" w:type="dxa"/>
            <w:vAlign w:val="bottom"/>
          </w:tcPr>
          <w:p>
            <w:pPr>
              <w:jc w:val="right"/>
              <w:ind w:right="178"/>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86"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Transfers into and/or out of Level 3 are reported at the value as of the beginning of the period in which the transfer occurs. Gross transfers into Level 3 were $1.6 for the year ended December 31, 2011. Gross transfers out of Level 3 were $14.8 for the year ended December 31, 2011.</w:t>
      </w: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Other is comprised of transactions such as pay downs, calls, amortization and redemptions.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Realized and unrealized gains and losses for investments in limited partnerships are included in net investment income.</w:t>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Other Financial Instruments Subject to Fair Value Disclosure Requirements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Cash and cash equivalents consist of demand bank deposits and short-term highly liquid investments with original maturities of three months or less at the time of purchase. Cash equivalents are reported at cost, which approximates fair value, and were $121.9 and $234.0 as of December 31, 2012 and 2011, respectively. As of December 31, 2012 and 2011, cash equivalents of $120.4 and $231.5, respectively, were held at a single highly-rated financial institution.</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fair values of the Company’s mortgage loans were measured by discounting the projected future cash flows using the current rate at which the loans would be made to borrowers with similar credit ratings and for the same maturities.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Investments in limited partnerships associated with tax credit investments are carried at amortized cost. Fair value was estimated based on the discounted cash flows over the remaining life of the tax credits, using the original internal rate of return for each investment.</w:t>
      </w:r>
    </w:p>
    <w:p>
      <w:pPr>
        <w:spacing w:after="0" w:line="132"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fair values of funds held under deposit contracts related to investment-type contracts are estimated using an income approach, based on the present value of the discounted cash flows. Cash flows were projected using best estimates for lapses, mortality and expenses, and discounted at a risk-free rate plus a nonperformance risk spread.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fair values of the Company’s notes payable were based on nonbinding quotes provided by third-parties. The fair value measurement assumes that liabilities were transferred to a market participant of equal credit standing and without consideration for any optional redemption features.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Policy Acquisition Costs and Deferred Sales Inducements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the beginning and ending balance for DAC: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(As adjusted)</w:t>
            </w:r>
          </w:p>
        </w:tc>
        <w:tc>
          <w:tcPr>
            <w:tcW w:w="50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(As adjusted)</w:t>
            </w:r>
          </w:p>
        </w:tc>
        <w:tc>
          <w:tcPr>
            <w:tcW w:w="10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Unamortized balance at beginning of period (1)</w:t>
            </w:r>
          </w:p>
        </w:tc>
        <w:tc>
          <w:tcPr>
            <w:tcW w:w="1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$ 368.4</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342.5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291.7</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80" w:type="dxa"/>
            <w:vAlign w:val="bottom"/>
          </w:tcPr>
          <w:p>
            <w:pPr>
              <w:ind w:left="640"/>
              <w:spacing w:after="0"/>
              <w:rPr>
                <w:sz w:val="20"/>
                <w:szCs w:val="20"/>
                <w:color w:val="auto"/>
              </w:rPr>
            </w:pPr>
            <w:r>
              <w:rPr>
                <w:rFonts w:ascii="Arial" w:cs="Arial" w:eastAsia="Arial" w:hAnsi="Arial"/>
                <w:sz w:val="18"/>
                <w:szCs w:val="18"/>
                <w:color w:val="auto"/>
              </w:rPr>
              <w:t>Deferral of acquisition costs</w:t>
            </w:r>
          </w:p>
        </w:tc>
        <w:tc>
          <w:tcPr>
            <w:tcW w:w="18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65.2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97.0</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108.1</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Adjustments related to investment (gains) losses</w:t>
            </w:r>
          </w:p>
        </w:tc>
        <w:tc>
          <w:tcPr>
            <w:tcW w:w="1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80" w:type="dxa"/>
            <w:vAlign w:val="bottom"/>
          </w:tcPr>
          <w:p>
            <w:pPr>
              <w:ind w:left="640"/>
              <w:spacing w:after="0"/>
              <w:rPr>
                <w:sz w:val="20"/>
                <w:szCs w:val="20"/>
                <w:color w:val="auto"/>
              </w:rPr>
            </w:pPr>
            <w:r>
              <w:rPr>
                <w:rFonts w:ascii="Arial" w:cs="Arial" w:eastAsia="Arial" w:hAnsi="Arial"/>
                <w:sz w:val="18"/>
                <w:szCs w:val="18"/>
                <w:color w:val="auto"/>
              </w:rPr>
              <w:t>Amortization</w:t>
            </w:r>
          </w:p>
        </w:tc>
        <w:tc>
          <w:tcPr>
            <w:tcW w:w="10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(66.0)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(68.8)</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(54.1)</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Unamortized balance at end of period</w:t>
            </w:r>
          </w:p>
        </w:tc>
        <w:tc>
          <w:tcPr>
            <w:tcW w:w="10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367.9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368.4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Accumulated effect of net unrealized investment gains</w:t>
            </w:r>
          </w:p>
        </w:tc>
        <w:tc>
          <w:tcPr>
            <w:tcW w:w="10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(182.4)</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(129.4)</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$ 155.8</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186.0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restated accumulated effect of net unrealized investment gains as of January 1, 2010 was $(72.0).</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provides a reconciliation of the beginning and ending balance for DSI, which are included in other assets on the consolidated balance sheets: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0"/>
              </w:rPr>
              <w:t>As of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2011</w:t>
            </w: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Unamortized balance at beginning of period</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142.0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880"/>
              <w:spacing w:after="0"/>
              <w:rPr>
                <w:sz w:val="20"/>
                <w:szCs w:val="20"/>
                <w:color w:val="auto"/>
              </w:rPr>
            </w:pPr>
            <w:r>
              <w:rPr>
                <w:rFonts w:ascii="Arial" w:cs="Arial" w:eastAsia="Arial" w:hAnsi="Arial"/>
                <w:sz w:val="18"/>
                <w:szCs w:val="18"/>
                <w:color w:val="auto"/>
              </w:rPr>
              <w:t>Capitalizations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49.7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68.3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1"/>
              </w:rPr>
              <w:t>Adjustments related to investment (gains) losses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460" w:type="dxa"/>
            <w:vAlign w:val="bottom"/>
          </w:tcPr>
          <w:p>
            <w:pPr>
              <w:ind w:left="880"/>
              <w:spacing w:after="0"/>
              <w:rPr>
                <w:sz w:val="20"/>
                <w:szCs w:val="20"/>
                <w:color w:val="auto"/>
              </w:rPr>
            </w:pPr>
            <w:r>
              <w:rPr>
                <w:rFonts w:ascii="Arial" w:cs="Arial" w:eastAsia="Arial" w:hAnsi="Arial"/>
                <w:sz w:val="18"/>
                <w:szCs w:val="18"/>
                <w:color w:val="auto"/>
              </w:rPr>
              <w:t>Amortization</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(38.6)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(30.9)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(20.2)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Unamortized balance at end of period</w:t>
            </w:r>
          </w:p>
        </w:tc>
        <w:tc>
          <w:tcPr>
            <w:tcW w:w="2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153.4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142.0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w w:val="92"/>
              </w:rPr>
              <w:t>Accumulated effect of net unrealized investment gains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7"/>
              </w:rPr>
              <w:t>(128.6)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(87.8)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(44.0)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4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380" w:type="dxa"/>
            <w:vAlign w:val="bottom"/>
            <w:vMerge w:val="restart"/>
          </w:tcPr>
          <w:p>
            <w:pPr>
              <w:jc w:val="right"/>
              <w:ind w:right="1832"/>
              <w:spacing w:after="0"/>
              <w:rPr>
                <w:sz w:val="20"/>
                <w:szCs w:val="20"/>
                <w:color w:val="auto"/>
              </w:rPr>
            </w:pPr>
            <w:r>
              <w:rPr>
                <w:rFonts w:ascii="Arial" w:cs="Arial" w:eastAsia="Arial" w:hAnsi="Arial"/>
                <w:sz w:val="18"/>
                <w:szCs w:val="18"/>
                <w:color w:val="auto"/>
              </w:rPr>
              <w:t>149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4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income (loss)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40" w:type="dxa"/>
            <w:vAlign w:val="bottom"/>
            <w:gridSpan w:val="4"/>
          </w:tcPr>
          <w:p>
            <w:pPr>
              <w:ind w:left="20"/>
              <w:spacing w:after="0"/>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4"/>
                <w:szCs w:val="14"/>
                <w:color w:val="auto"/>
              </w:rPr>
            </w:pPr>
          </w:p>
        </w:tc>
        <w:tc>
          <w:tcPr>
            <w:tcW w:w="1140" w:type="dxa"/>
            <w:vAlign w:val="bottom"/>
            <w:gridSpan w:val="2"/>
          </w:tcPr>
          <w:p>
            <w:pPr>
              <w:jc w:val="center"/>
              <w:ind w:right="438"/>
              <w:spacing w:after="0"/>
              <w:rPr>
                <w:sz w:val="20"/>
                <w:szCs w:val="20"/>
                <w:color w:val="auto"/>
              </w:rPr>
            </w:pPr>
            <w:r>
              <w:rPr>
                <w:rFonts w:ascii="Arial" w:cs="Arial" w:eastAsia="Arial" w:hAnsi="Arial"/>
                <w:sz w:val="14"/>
                <w:szCs w:val="14"/>
                <w:b w:val="1"/>
                <w:bCs w:val="1"/>
                <w:color w:val="auto"/>
              </w:rPr>
              <w:t>OTTI</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center"/>
              <w:ind w:right="358"/>
              <w:spacing w:after="0"/>
              <w:rPr>
                <w:sz w:val="20"/>
                <w:szCs w:val="20"/>
                <w:color w:val="auto"/>
              </w:rPr>
            </w:pPr>
            <w:r>
              <w:rPr>
                <w:rFonts w:ascii="Arial" w:cs="Arial" w:eastAsia="Arial" w:hAnsi="Arial"/>
                <w:sz w:val="14"/>
                <w:szCs w:val="14"/>
                <w:b w:val="1"/>
                <w:bCs w:val="1"/>
                <w:color w:val="auto"/>
                <w:w w:val="88"/>
              </w:rPr>
              <w:t>Adjustment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gains on</w:t>
            </w:r>
          </w:p>
        </w:tc>
        <w:tc>
          <w:tcPr>
            <w:tcW w:w="80" w:type="dxa"/>
            <w:vAlign w:val="bottom"/>
          </w:tcPr>
          <w:p>
            <w:pPr>
              <w:spacing w:after="0"/>
              <w:rPr>
                <w:sz w:val="12"/>
                <w:szCs w:val="12"/>
                <w:color w:val="auto"/>
              </w:rPr>
            </w:pPr>
          </w:p>
        </w:tc>
        <w:tc>
          <w:tcPr>
            <w:tcW w:w="1140" w:type="dxa"/>
            <w:vAlign w:val="bottom"/>
            <w:gridSpan w:val="2"/>
          </w:tcPr>
          <w:p>
            <w:pPr>
              <w:jc w:val="center"/>
              <w:ind w:right="438"/>
              <w:spacing w:after="0" w:line="149" w:lineRule="exact"/>
              <w:rPr>
                <w:sz w:val="20"/>
                <w:szCs w:val="20"/>
                <w:color w:val="auto"/>
              </w:rPr>
            </w:pPr>
            <w:r>
              <w:rPr>
                <w:rFonts w:ascii="Arial" w:cs="Arial" w:eastAsia="Arial" w:hAnsi="Arial"/>
                <w:sz w:val="14"/>
                <w:szCs w:val="14"/>
                <w:b w:val="1"/>
                <w:bCs w:val="1"/>
                <w:color w:val="auto"/>
                <w:w w:val="85"/>
              </w:rPr>
              <w:t>on fixed</w:t>
            </w: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Net unrealized</w:t>
            </w:r>
          </w:p>
        </w:tc>
        <w:tc>
          <w:tcPr>
            <w:tcW w:w="200" w:type="dxa"/>
            <w:vAlign w:val="bottom"/>
          </w:tcPr>
          <w:p>
            <w:pPr>
              <w:spacing w:after="0"/>
              <w:rPr>
                <w:sz w:val="12"/>
                <w:szCs w:val="12"/>
                <w:color w:val="auto"/>
              </w:rPr>
            </w:pPr>
          </w:p>
        </w:tc>
        <w:tc>
          <w:tcPr>
            <w:tcW w:w="1200" w:type="dxa"/>
            <w:vAlign w:val="bottom"/>
            <w:gridSpan w:val="3"/>
          </w:tcPr>
          <w:p>
            <w:pPr>
              <w:jc w:val="center"/>
              <w:ind w:right="338"/>
              <w:spacing w:after="0" w:line="149" w:lineRule="exact"/>
              <w:rPr>
                <w:sz w:val="20"/>
                <w:szCs w:val="20"/>
                <w:color w:val="auto"/>
              </w:rPr>
            </w:pPr>
            <w:r>
              <w:rPr>
                <w:rFonts w:ascii="Arial" w:cs="Arial" w:eastAsia="Arial" w:hAnsi="Arial"/>
                <w:sz w:val="14"/>
                <w:szCs w:val="14"/>
                <w:b w:val="1"/>
                <w:bCs w:val="1"/>
                <w:color w:val="auto"/>
                <w:w w:val="89"/>
              </w:rPr>
              <w:t>for deferred</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available-</w:t>
            </w:r>
          </w:p>
        </w:tc>
        <w:tc>
          <w:tcPr>
            <w:tcW w:w="80" w:type="dxa"/>
            <w:vAlign w:val="bottom"/>
          </w:tcPr>
          <w:p>
            <w:pPr>
              <w:spacing w:after="0"/>
              <w:rPr>
                <w:sz w:val="12"/>
                <w:szCs w:val="12"/>
                <w:color w:val="auto"/>
              </w:rPr>
            </w:pPr>
          </w:p>
        </w:tc>
        <w:tc>
          <w:tcPr>
            <w:tcW w:w="1140" w:type="dxa"/>
            <w:vAlign w:val="bottom"/>
            <w:gridSpan w:val="2"/>
          </w:tcPr>
          <w:p>
            <w:pPr>
              <w:jc w:val="center"/>
              <w:ind w:right="438"/>
              <w:spacing w:after="0" w:line="149" w:lineRule="exact"/>
              <w:rPr>
                <w:sz w:val="20"/>
                <w:szCs w:val="20"/>
                <w:color w:val="auto"/>
              </w:rPr>
            </w:pPr>
            <w:r>
              <w:rPr>
                <w:rFonts w:ascii="Arial" w:cs="Arial" w:eastAsia="Arial" w:hAnsi="Arial"/>
                <w:sz w:val="14"/>
                <w:szCs w:val="14"/>
                <w:b w:val="1"/>
                <w:bCs w:val="1"/>
                <w:color w:val="auto"/>
                <w:w w:val="86"/>
              </w:rPr>
              <w:t>maturities</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gains (losses) 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498"/>
              <w:spacing w:after="0" w:line="149" w:lineRule="exact"/>
              <w:rPr>
                <w:sz w:val="20"/>
                <w:szCs w:val="20"/>
                <w:color w:val="auto"/>
              </w:rPr>
            </w:pPr>
            <w:r>
              <w:rPr>
                <w:rFonts w:ascii="Arial" w:cs="Arial" w:eastAsia="Arial" w:hAnsi="Arial"/>
                <w:sz w:val="14"/>
                <w:szCs w:val="14"/>
                <w:b w:val="1"/>
                <w:bCs w:val="1"/>
                <w:color w:val="auto"/>
                <w:w w:val="88"/>
              </w:rPr>
              <w:t>policy</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for deferred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for-sale</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not related to</w:t>
            </w:r>
          </w:p>
        </w:tc>
        <w:tc>
          <w:tcPr>
            <w:tcW w:w="14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cash flow</w:t>
            </w:r>
          </w:p>
        </w:tc>
        <w:tc>
          <w:tcPr>
            <w:tcW w:w="200" w:type="dxa"/>
            <w:vAlign w:val="bottom"/>
          </w:tcPr>
          <w:p>
            <w:pPr>
              <w:spacing w:after="0"/>
              <w:rPr>
                <w:sz w:val="12"/>
                <w:szCs w:val="12"/>
                <w:color w:val="auto"/>
              </w:rPr>
            </w:pPr>
          </w:p>
        </w:tc>
        <w:tc>
          <w:tcPr>
            <w:tcW w:w="1200" w:type="dxa"/>
            <w:vAlign w:val="bottom"/>
            <w:gridSpan w:val="3"/>
          </w:tcPr>
          <w:p>
            <w:pPr>
              <w:jc w:val="center"/>
              <w:ind w:right="358"/>
              <w:spacing w:after="0" w:line="149" w:lineRule="exact"/>
              <w:rPr>
                <w:sz w:val="20"/>
                <w:szCs w:val="20"/>
                <w:color w:val="auto"/>
              </w:rPr>
            </w:pPr>
            <w:r>
              <w:rPr>
                <w:rFonts w:ascii="Arial" w:cs="Arial" w:eastAsia="Arial" w:hAnsi="Arial"/>
                <w:sz w:val="14"/>
                <w:szCs w:val="14"/>
                <w:b w:val="1"/>
                <w:bCs w:val="1"/>
                <w:color w:val="auto"/>
                <w:w w:val="86"/>
              </w:rPr>
              <w:t>acquisition</w:t>
            </w:r>
          </w:p>
        </w:tc>
        <w:tc>
          <w:tcPr>
            <w:tcW w:w="160" w:type="dxa"/>
            <w:vAlign w:val="bottom"/>
          </w:tcPr>
          <w:p>
            <w:pPr>
              <w:spacing w:after="0"/>
              <w:rPr>
                <w:sz w:val="12"/>
                <w:szCs w:val="12"/>
                <w:color w:val="auto"/>
              </w:rPr>
            </w:pPr>
          </w:p>
        </w:tc>
        <w:tc>
          <w:tcPr>
            <w:tcW w:w="820" w:type="dxa"/>
            <w:vAlign w:val="bottom"/>
            <w:gridSpan w:val="2"/>
          </w:tcPr>
          <w:p>
            <w:pPr>
              <w:jc w:val="right"/>
              <w:ind w:right="398"/>
              <w:spacing w:after="0" w:line="149" w:lineRule="exact"/>
              <w:rPr>
                <w:sz w:val="20"/>
                <w:szCs w:val="20"/>
                <w:color w:val="auto"/>
              </w:rPr>
            </w:pPr>
            <w:r>
              <w:rPr>
                <w:rFonts w:ascii="Arial" w:cs="Arial" w:eastAsia="Arial" w:hAnsi="Arial"/>
                <w:sz w:val="14"/>
                <w:szCs w:val="14"/>
                <w:b w:val="1"/>
                <w:bCs w:val="1"/>
                <w:color w:val="auto"/>
                <w:w w:val="91"/>
              </w:rPr>
              <w:t>sales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Deferred</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comprehensive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2"/>
              </w:rPr>
              <w:t>securities</w:t>
            </w:r>
          </w:p>
        </w:tc>
        <w:tc>
          <w:tcPr>
            <w:tcW w:w="1220" w:type="dxa"/>
            <w:vAlign w:val="bottom"/>
            <w:gridSpan w:val="3"/>
          </w:tcPr>
          <w:p>
            <w:pPr>
              <w:jc w:val="center"/>
              <w:ind w:right="358"/>
              <w:spacing w:after="0"/>
              <w:rPr>
                <w:sz w:val="20"/>
                <w:szCs w:val="20"/>
                <w:color w:val="auto"/>
              </w:rPr>
            </w:pPr>
            <w:r>
              <w:rPr>
                <w:rFonts w:ascii="Arial" w:cs="Arial" w:eastAsia="Arial" w:hAnsi="Arial"/>
                <w:sz w:val="14"/>
                <w:szCs w:val="14"/>
                <w:b w:val="1"/>
                <w:bCs w:val="1"/>
                <w:color w:val="auto"/>
                <w:w w:val="81"/>
              </w:rPr>
              <w:t>credit losses</w:t>
            </w:r>
          </w:p>
        </w:tc>
        <w:tc>
          <w:tcPr>
            <w:tcW w:w="14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1"/>
              </w:rPr>
              <w:t>hedges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498"/>
              <w:spacing w:after="0"/>
              <w:rPr>
                <w:sz w:val="20"/>
                <w:szCs w:val="20"/>
                <w:color w:val="auto"/>
              </w:rPr>
            </w:pPr>
            <w:r>
              <w:rPr>
                <w:rFonts w:ascii="Arial" w:cs="Arial" w:eastAsia="Arial" w:hAnsi="Arial"/>
                <w:sz w:val="14"/>
                <w:szCs w:val="14"/>
                <w:b w:val="1"/>
                <w:bCs w:val="1"/>
                <w:color w:val="auto"/>
                <w:w w:val="76"/>
              </w:rPr>
              <w:t>costs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inducements</w:t>
            </w:r>
          </w:p>
        </w:tc>
        <w:tc>
          <w:tcPr>
            <w:tcW w:w="1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 taxes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(As adjusted)</w:t>
            </w:r>
          </w:p>
        </w:tc>
        <w:tc>
          <w:tcPr>
            <w:tcW w:w="4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(As adjusted)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(As adjusted)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925.7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(76.2)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(129.4)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(44.0)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(235.8)</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977.0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98"/>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8"/>
                <w:szCs w:val="18"/>
                <w:color w:val="auto"/>
              </w:rPr>
            </w:pPr>
          </w:p>
        </w:tc>
        <w:tc>
          <w:tcPr>
            <w:tcW w:w="820" w:type="dxa"/>
            <w:vAlign w:val="bottom"/>
            <w:gridSpan w:val="2"/>
          </w:tcPr>
          <w:p>
            <w:pPr>
              <w:jc w:val="right"/>
              <w:ind w:right="118"/>
              <w:spacing w:after="0"/>
              <w:rPr>
                <w:sz w:val="20"/>
                <w:szCs w:val="20"/>
                <w:color w:val="auto"/>
              </w:rPr>
            </w:pPr>
            <w:r>
              <w:rPr>
                <w:rFonts w:ascii="Arial" w:cs="Arial" w:eastAsia="Arial" w:hAnsi="Arial"/>
                <w:sz w:val="18"/>
                <w:szCs w:val="18"/>
                <w:color w:val="auto"/>
              </w:rPr>
              <w:t>(43.8)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(317.4)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(57.3)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(182.4)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(87.8)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(553.2)</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1,027.3</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8"/>
                <w:szCs w:val="18"/>
                <w:color w:val="auto"/>
              </w:rPr>
              <w:t>Balance as of January 1, 2012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1,902.7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(57.3)</w:t>
            </w:r>
          </w:p>
        </w:tc>
        <w:tc>
          <w:tcPr>
            <w:tcW w:w="4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(182.4)</w:t>
            </w:r>
          </w:p>
        </w:tc>
        <w:tc>
          <w:tcPr>
            <w:tcW w:w="4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(87.8)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w w:val="73"/>
              </w:rPr>
              <w:t>(553.2)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574.6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b w:val="1"/>
                <w:bCs w:val="1"/>
                <w:color w:val="auto"/>
              </w:rPr>
              <w:t>(29.7)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(40.8)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(185.1)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343.9</w:t>
            </w:r>
          </w:p>
        </w:tc>
        <w:tc>
          <w:tcPr>
            <w:tcW w:w="0" w:type="dxa"/>
            <w:vAlign w:val="bottom"/>
          </w:tcPr>
          <w:p>
            <w:pPr>
              <w:spacing w:after="0"/>
              <w:rPr>
                <w:sz w:val="1"/>
                <w:szCs w:val="1"/>
                <w:color w:val="auto"/>
              </w:rPr>
            </w:pPr>
          </w:p>
        </w:tc>
      </w:tr>
      <w:tr>
        <w:trPr>
          <w:trHeight w:val="223"/>
        </w:trPr>
        <w:tc>
          <w:tcPr>
            <w:tcW w:w="3120" w:type="dxa"/>
            <w:vAlign w:val="bottom"/>
            <w:gridSpan w:val="2"/>
          </w:tcPr>
          <w:p>
            <w:pPr>
              <w:spacing w:after="0"/>
              <w:rPr>
                <w:sz w:val="20"/>
                <w:szCs w:val="20"/>
                <w:color w:val="auto"/>
              </w:rPr>
            </w:pPr>
            <w:r>
              <w:rPr>
                <w:rFonts w:ascii="Arial" w:cs="Arial" w:eastAsia="Arial" w:hAnsi="Arial"/>
                <w:sz w:val="18"/>
                <w:szCs w:val="18"/>
                <w:color w:val="auto"/>
              </w:rPr>
              <w:t>Balance as of December 31, 2012</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2,477.3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w:t>
            </w:r>
          </w:p>
        </w:tc>
        <w:tc>
          <w:tcPr>
            <w:tcW w:w="440" w:type="dxa"/>
            <w:vAlign w:val="bottom"/>
          </w:tcPr>
          <w:p>
            <w:pPr>
              <w:jc w:val="right"/>
              <w:ind w:right="298"/>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(212.1</w:t>
            </w:r>
          </w:p>
        </w:tc>
        <w:tc>
          <w:tcPr>
            <w:tcW w:w="440" w:type="dxa"/>
            <w:vAlign w:val="bottom"/>
          </w:tcPr>
          <w:p>
            <w:pPr>
              <w:jc w:val="right"/>
              <w:ind w:right="298"/>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(128.6</w:t>
            </w:r>
          </w:p>
        </w:tc>
        <w:tc>
          <w:tcPr>
            <w:tcW w:w="260" w:type="dxa"/>
            <w:vAlign w:val="bottom"/>
          </w:tcPr>
          <w:p>
            <w:pPr>
              <w:jc w:val="right"/>
              <w:ind w:right="118"/>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w w:val="82"/>
              </w:rPr>
              <w:t>(738.3</w:t>
            </w:r>
          </w:p>
        </w:tc>
        <w:tc>
          <w:tcPr>
            <w:tcW w:w="260" w:type="dxa"/>
            <w:vAlign w:val="bottom"/>
          </w:tcPr>
          <w:p>
            <w:pPr>
              <w:jc w:val="right"/>
              <w:ind w:right="118"/>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changes in outstanding shares of common stock: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86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w w:val="97"/>
              </w:rPr>
              <w:t>Common Shares As of December 31,</w:t>
            </w:r>
          </w:p>
        </w:tc>
      </w:tr>
      <w:tr>
        <w:trPr>
          <w:trHeight w:val="142"/>
        </w:trPr>
        <w:tc>
          <w:tcPr>
            <w:tcW w:w="1160" w:type="dxa"/>
            <w:vAlign w:val="bottom"/>
            <w:tcBorders>
              <w:bottom w:val="single" w:sz="8" w:color="CCEEFF"/>
            </w:tcBorders>
          </w:tcPr>
          <w:p>
            <w:pPr>
              <w:spacing w:after="0"/>
              <w:rPr>
                <w:sz w:val="12"/>
                <w:szCs w:val="12"/>
                <w:color w:val="auto"/>
              </w:rPr>
            </w:pPr>
          </w:p>
        </w:tc>
        <w:tc>
          <w:tcPr>
            <w:tcW w:w="74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8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118.637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118.216</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92.729</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gridSpan w:val="2"/>
          </w:tcPr>
          <w:p>
            <w:pPr>
              <w:ind w:left="440"/>
              <w:spacing w:after="0"/>
              <w:rPr>
                <w:sz w:val="20"/>
                <w:szCs w:val="20"/>
                <w:color w:val="auto"/>
              </w:rPr>
            </w:pPr>
            <w:r>
              <w:rPr>
                <w:rFonts w:ascii="Arial" w:cs="Arial" w:eastAsia="Arial" w:hAnsi="Arial"/>
                <w:sz w:val="18"/>
                <w:szCs w:val="18"/>
                <w:color w:val="auto"/>
              </w:rPr>
              <w:t>Common stock, issued in initial public offering</w:t>
            </w:r>
          </w:p>
        </w:tc>
        <w:tc>
          <w:tcPr>
            <w:tcW w:w="10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25.260</w:t>
            </w:r>
          </w:p>
        </w:tc>
      </w:tr>
      <w:tr>
        <w:trPr>
          <w:trHeight w:val="216"/>
        </w:trPr>
        <w:tc>
          <w:tcPr>
            <w:tcW w:w="8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Restricted stock issued, net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0.379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0.298</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0.243</w:t>
            </w:r>
          </w:p>
        </w:tc>
      </w:tr>
      <w:tr>
        <w:trPr>
          <w:trHeight w:val="216"/>
        </w:trPr>
        <w:tc>
          <w:tcPr>
            <w:tcW w:w="8560" w:type="dxa"/>
            <w:vAlign w:val="bottom"/>
            <w:gridSpan w:val="2"/>
          </w:tcPr>
          <w:p>
            <w:pPr>
              <w:ind w:left="440"/>
              <w:spacing w:after="0"/>
              <w:rPr>
                <w:sz w:val="20"/>
                <w:szCs w:val="20"/>
                <w:color w:val="auto"/>
              </w:rPr>
            </w:pPr>
            <w:r>
              <w:rPr>
                <w:rFonts w:ascii="Arial" w:cs="Arial" w:eastAsia="Arial" w:hAnsi="Arial"/>
                <w:sz w:val="18"/>
                <w:szCs w:val="18"/>
                <w:color w:val="auto"/>
              </w:rPr>
              <w:t>Employee stock purchase plan shares issued</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0.142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0.124</w:t>
            </w:r>
          </w:p>
        </w:tc>
        <w:tc>
          <w:tcPr>
            <w:tcW w:w="4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0.033</w:t>
            </w:r>
          </w:p>
        </w:tc>
      </w:tr>
      <w:tr>
        <w:trPr>
          <w:trHeight w:val="216"/>
        </w:trPr>
        <w:tc>
          <w:tcPr>
            <w:tcW w:w="8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Treasury stock (1)</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(0.070)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(0.001)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(0.049)</w:t>
            </w:r>
          </w:p>
        </w:tc>
      </w:tr>
      <w:tr>
        <w:trPr>
          <w:trHeight w:val="223"/>
        </w:trPr>
        <w:tc>
          <w:tcPr>
            <w:tcW w:w="85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119.088</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118.637</w:t>
            </w: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118.216</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5580" w:right="1100" w:hanging="5572"/>
        <w:spacing w:after="0" w:line="440" w:lineRule="auto"/>
        <w:tabs>
          <w:tab w:leader="none" w:pos="451"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Represents shares repurchased and subsequently retired to satisfy employee income tax withholding pursuant to the Company’s Equity Plan. 150</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The consolidated statements of comprehensive income presents the changes in unrealized gains and losses on available-for-sale securities, net of reclassification adjustments. The following table summarizes the adjustments to OCI for amounts reclassified from AOCI to net income during the period.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For the Years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w w:val="76"/>
              </w:rPr>
              <w:t>2012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left="226"/>
              <w:spacing w:after="0" w:line="142" w:lineRule="exact"/>
              <w:rPr>
                <w:sz w:val="20"/>
                <w:szCs w:val="20"/>
                <w:color w:val="auto"/>
              </w:rPr>
            </w:pPr>
            <w:r>
              <w:rPr>
                <w:rFonts w:ascii="Arial" w:cs="Arial" w:eastAsia="Arial" w:hAnsi="Arial"/>
                <w:sz w:val="14"/>
                <w:szCs w:val="14"/>
                <w:b w:val="1"/>
                <w:bCs w:val="1"/>
                <w:color w:val="auto"/>
                <w:w w:val="83"/>
              </w:rPr>
              <w:t>2011</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Reclassifications included in net income for:</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 xml:space="preserve">Net realized investments (gains) losses (net of taxes of </w:t>
            </w:r>
            <w:r>
              <w:rPr>
                <w:rFonts w:ascii="Arial" w:cs="Arial" w:eastAsia="Arial" w:hAnsi="Arial"/>
                <w:sz w:val="18"/>
                <w:szCs w:val="18"/>
                <w:b w:val="1"/>
                <w:bCs w:val="1"/>
                <w:color w:val="auto"/>
              </w:rPr>
              <w:t>$(13.5)</w:t>
            </w:r>
            <w:r>
              <w:rPr>
                <w:rFonts w:ascii="Arial" w:cs="Arial" w:eastAsia="Arial" w:hAnsi="Arial"/>
                <w:sz w:val="18"/>
                <w:szCs w:val="18"/>
                <w:color w:val="auto"/>
              </w:rPr>
              <w:t>, $(5.3) and $(17.3))</w:t>
            </w: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w w:val="84"/>
              </w:rPr>
              <w:t>(24.9)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(9.9)</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(32.2)</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Other-than-temporary impairments (net of taxes of </w:t>
            </w:r>
            <w:r>
              <w:rPr>
                <w:rFonts w:ascii="Arial" w:cs="Arial" w:eastAsia="Arial" w:hAnsi="Arial"/>
                <w:sz w:val="18"/>
                <w:szCs w:val="18"/>
                <w:b w:val="1"/>
                <w:bCs w:val="1"/>
                <w:color w:val="auto"/>
              </w:rPr>
              <w:t>$12.3</w:t>
            </w:r>
            <w:r>
              <w:rPr>
                <w:rFonts w:ascii="Arial" w:cs="Arial" w:eastAsia="Arial" w:hAnsi="Arial"/>
                <w:sz w:val="18"/>
                <w:szCs w:val="18"/>
                <w:color w:val="auto"/>
              </w:rPr>
              <w:t>, $6.3 and $13.3)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6"/>
              </w:rPr>
              <w:t>23.0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9100" w:type="dxa"/>
            <w:vAlign w:val="bottom"/>
            <w:vMerge w:val="restart"/>
          </w:tcPr>
          <w:p>
            <w:pPr>
              <w:spacing w:after="0"/>
              <w:rPr>
                <w:sz w:val="20"/>
                <w:szCs w:val="20"/>
                <w:color w:val="auto"/>
              </w:rPr>
            </w:pPr>
            <w:r>
              <w:rPr>
                <w:rFonts w:ascii="Arial" w:cs="Arial" w:eastAsia="Arial" w:hAnsi="Arial"/>
                <w:sz w:val="18"/>
                <w:szCs w:val="18"/>
                <w:color w:val="auto"/>
              </w:rPr>
              <w:t>Reclassifications included in net income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32"/>
              <w:spacing w:after="0"/>
              <w:rPr>
                <w:sz w:val="20"/>
                <w:szCs w:val="20"/>
                <w:color w:val="auto"/>
              </w:rPr>
            </w:pPr>
            <w:r>
              <w:rPr>
                <w:rFonts w:ascii="Arial" w:cs="Arial" w:eastAsia="Arial" w:hAnsi="Arial"/>
                <w:sz w:val="16"/>
                <w:szCs w:val="16"/>
                <w:b w:val="1"/>
                <w:bCs w:val="1"/>
                <w:color w:val="auto"/>
                <w:w w:val="74"/>
              </w:rPr>
              <w:t>)</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As of December 31, 2012, the Company had two stock-based compensation plans: the Symetra Financial Corporation Equity Plan, amended and restated on March 4, 2011, (the “Equity Plan”) and the Symetra Financial Corporation Employee Stock Purchase Plan, amended and restated on May 11, 2010, (the “Stock Purchase Plan”). Under the Equity Plan, the Company is authorized to issue various types of stock-based compensation to employees, directors and consultants. A total of 7.830 shares are authorized for issuance under the Equity Plan, and 4.296 equity instruments are available for future issuance as of December 31, 2012. The Stock Purchase Plan allows eligible employees to purchase shares of the Company’s common stock at a 15% discount from the market price. A total of 0.870 shares are authorized for issuance under this plan. As of December 31, 2012, 0.572 shares are available for future issuance under the Stock Purchase Plan.</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Restricted shares are valued based on the number of shares granted and the Company’s closing stock price on the grant date. The Company recognizes such compensation cost as expense over the service period (generally three years), net of estimated forfeitures, using the straight-line method. Many factors are considered when estimating forfeitures, including types of awards, employee class and historical experience. The estimation of equity awards that will ultimately vest requires judgment, and to the extent actual results or future estimates differ from current estimates, the Company records a cumulative adjustment in the period that the estimates are revised.</w:t>
      </w:r>
    </w:p>
    <w:p>
      <w:pPr>
        <w:spacing w:after="0" w:line="143"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Stock-based compensation expense for restricted shares, recognized in other underwriting and operating expenses on the consolidated statements of income, was $3.5, $2.1, and $2.0 for the years ended December 31, 2012, 2011 and 2010, respectively. The related income tax benefit for the years ended December 31, 2012, 2011 and 2010 was $1.2, $0.7 and $0.7,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restricted stock activity for the three years ended December 31, 2012:</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94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Number of</w:t>
            </w:r>
          </w:p>
        </w:tc>
        <w:tc>
          <w:tcPr>
            <w:tcW w:w="120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as of January 1, 2010</w:t>
            </w:r>
          </w:p>
        </w:tc>
        <w:tc>
          <w:tcPr>
            <w:tcW w:w="18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Shares granted</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0.274</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vested</w:t>
            </w:r>
          </w:p>
        </w:tc>
        <w:tc>
          <w:tcPr>
            <w:tcW w:w="2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(0.134)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Shares forfeited</w:t>
            </w:r>
          </w:p>
        </w:tc>
        <w:tc>
          <w:tcPr>
            <w:tcW w:w="186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(0.031)</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2010</w:t>
            </w:r>
          </w:p>
        </w:tc>
        <w:tc>
          <w:tcPr>
            <w:tcW w:w="186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0.192</w:t>
            </w: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Outstanding as of January 1, 2011</w:t>
            </w:r>
          </w:p>
        </w:tc>
        <w:tc>
          <w:tcPr>
            <w:tcW w:w="1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12.61</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gridSpan w:val="2"/>
            <w:vMerge w:val="continue"/>
          </w:tcPr>
          <w:p>
            <w:pPr>
              <w:spacing w:after="0"/>
              <w:rPr>
                <w:sz w:val="18"/>
                <w:szCs w:val="18"/>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0.192</w:t>
            </w:r>
          </w:p>
        </w:tc>
        <w:tc>
          <w:tcPr>
            <w:tcW w:w="44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granted</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0.314</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Shares vested</w:t>
            </w:r>
          </w:p>
        </w:tc>
        <w:tc>
          <w:tcPr>
            <w:tcW w:w="2940" w:type="dxa"/>
            <w:vAlign w:val="bottom"/>
            <w:gridSpan w:val="3"/>
          </w:tcPr>
          <w:p>
            <w:pPr>
              <w:jc w:val="right"/>
              <w:ind w:right="380"/>
              <w:spacing w:after="0"/>
              <w:rPr>
                <w:sz w:val="20"/>
                <w:szCs w:val="20"/>
                <w:color w:val="auto"/>
              </w:rPr>
            </w:pPr>
            <w:r>
              <w:rPr>
                <w:rFonts w:ascii="Arial" w:cs="Arial" w:eastAsia="Arial" w:hAnsi="Arial"/>
                <w:sz w:val="18"/>
                <w:szCs w:val="18"/>
                <w:color w:val="auto"/>
              </w:rPr>
              <w:t>(0.012)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forfeited</w:t>
            </w:r>
          </w:p>
        </w:tc>
        <w:tc>
          <w:tcPr>
            <w:tcW w:w="18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(0.016)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Outstanding as of December 31, 2011</w:t>
            </w:r>
          </w:p>
        </w:tc>
        <w:tc>
          <w:tcPr>
            <w:tcW w:w="18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0.478</w:t>
            </w:r>
          </w:p>
        </w:tc>
        <w:tc>
          <w:tcPr>
            <w:tcW w:w="440" w:type="dxa"/>
            <w:vAlign w:val="bottom"/>
          </w:tcPr>
          <w:p>
            <w:pPr>
              <w:spacing w:after="0"/>
              <w:rPr>
                <w:sz w:val="19"/>
                <w:szCs w:val="19"/>
                <w:color w:val="auto"/>
              </w:rPr>
            </w:pP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1, 2012</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0.478</w:t>
            </w: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Shares granted</w:t>
            </w:r>
          </w:p>
        </w:tc>
        <w:tc>
          <w:tcPr>
            <w:tcW w:w="2500" w:type="dxa"/>
            <w:vAlign w:val="bottom"/>
            <w:gridSpan w:val="2"/>
          </w:tcPr>
          <w:p>
            <w:pPr>
              <w:jc w:val="right"/>
              <w:spacing w:after="0"/>
              <w:rPr>
                <w:sz w:val="20"/>
                <w:szCs w:val="20"/>
                <w:color w:val="auto"/>
              </w:rPr>
            </w:pPr>
            <w:r>
              <w:rPr>
                <w:rFonts w:ascii="Arial" w:cs="Arial" w:eastAsia="Arial" w:hAnsi="Arial"/>
                <w:sz w:val="18"/>
                <w:szCs w:val="18"/>
                <w:b w:val="1"/>
                <w:bCs w:val="1"/>
                <w:color w:val="auto"/>
              </w:rPr>
              <w:t>0.433</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vested</w:t>
            </w:r>
          </w:p>
        </w:tc>
        <w:tc>
          <w:tcPr>
            <w:tcW w:w="2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(0.209)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Shares forfeited</w:t>
            </w:r>
          </w:p>
        </w:tc>
        <w:tc>
          <w:tcPr>
            <w:tcW w:w="186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(0.053)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11.35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2012</w:t>
            </w:r>
          </w:p>
        </w:tc>
        <w:tc>
          <w:tcPr>
            <w:tcW w:w="186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0.649</w:t>
            </w: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fair value of restricted stock vested during the years ended December 31, 2012, 2011 and 2010 was $2.6, $0.2 and $1.6, respectively.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December 31, 2012, unrecognized compensation cost for restricted stock was $3.9 and is expected to be recognized over the weighted average of 1.6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Company issued 2.950 options for the year ended December 31, 2010, with an exercise price of $28.00. These options vest on June 30, 2017 and expire one year thereafter. The weighted average fair value of awards granted during the year ended December 31, 2010 was $2.73 per share. No options were granted in 2012 or 2011. For the year ended December 31, 2012, 0.300 options were forfeited.</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measures compensation cost for stock awards at fair value on the grant date and recognizes such cost, net of estimated forfeitures, over the requisite service period (generally seven years). Stock options are valued using the Black-Scholes valuation model. The following table summarizes the weighted average assumptions used to value stock options issued:</w:t>
      </w:r>
    </w:p>
    <w:p>
      <w:pPr>
        <w:spacing w:after="0" w:line="16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720" w:type="dxa"/>
            <w:vAlign w:val="bottom"/>
            <w:gridSpan w:val="2"/>
          </w:tcPr>
          <w:p>
            <w:pPr>
              <w:ind w:left="220"/>
              <w:spacing w:after="0"/>
              <w:rPr>
                <w:sz w:val="20"/>
                <w:szCs w:val="20"/>
                <w:color w:val="auto"/>
              </w:rPr>
            </w:pPr>
            <w:r>
              <w:rPr>
                <w:rFonts w:ascii="Arial" w:cs="Arial" w:eastAsia="Arial" w:hAnsi="Arial"/>
                <w:sz w:val="14"/>
                <w:szCs w:val="14"/>
                <w:b w:val="1"/>
                <w:bCs w:val="1"/>
                <w:color w:val="auto"/>
              </w:rPr>
              <w:t>For the Year Ended</w:t>
            </w:r>
          </w:p>
        </w:tc>
      </w:tr>
      <w:tr>
        <w:trPr>
          <w:trHeight w:val="161"/>
        </w:trPr>
        <w:tc>
          <w:tcPr>
            <w:tcW w:w="26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7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2010</w:t>
            </w:r>
          </w:p>
        </w:tc>
      </w:tr>
      <w:tr>
        <w:trPr>
          <w:trHeight w:val="210"/>
        </w:trPr>
        <w:tc>
          <w:tcPr>
            <w:tcW w:w="2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term</w:t>
            </w:r>
          </w:p>
        </w:tc>
        <w:tc>
          <w:tcPr>
            <w:tcW w:w="34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 years</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980" w:type="dxa"/>
            <w:vAlign w:val="bottom"/>
            <w:gridSpan w:val="2"/>
          </w:tcPr>
          <w:p>
            <w:pPr>
              <w:jc w:val="right"/>
              <w:ind w:right="326"/>
              <w:spacing w:after="0"/>
              <w:rPr>
                <w:sz w:val="20"/>
                <w:szCs w:val="20"/>
                <w:color w:val="auto"/>
              </w:rPr>
            </w:pPr>
            <w:r>
              <w:rPr>
                <w:rFonts w:ascii="Arial" w:cs="Arial" w:eastAsia="Arial" w:hAnsi="Arial"/>
                <w:sz w:val="18"/>
                <w:szCs w:val="18"/>
                <w:color w:val="auto"/>
              </w:rPr>
              <w:t>2.0 - 2.7%</w:t>
            </w:r>
          </w:p>
        </w:tc>
        <w:tc>
          <w:tcPr>
            <w:tcW w:w="14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980" w:type="dxa"/>
            <w:vAlign w:val="bottom"/>
            <w:gridSpan w:val="2"/>
            <w:shd w:val="clear" w:color="auto" w:fill="CCEEFF"/>
          </w:tcPr>
          <w:p>
            <w:pPr>
              <w:jc w:val="right"/>
              <w:ind w:right="346"/>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r>
      <w:tr>
        <w:trPr>
          <w:trHeight w:val="222"/>
        </w:trPr>
        <w:tc>
          <w:tcPr>
            <w:tcW w:w="2640" w:type="dxa"/>
            <w:vAlign w:val="bottom"/>
          </w:tcPr>
          <w:p>
            <w:pPr>
              <w:spacing w:after="0"/>
              <w:rPr>
                <w:sz w:val="20"/>
                <w:szCs w:val="20"/>
                <w:color w:val="auto"/>
              </w:rPr>
            </w:pPr>
            <w:r>
              <w:rPr>
                <w:rFonts w:ascii="Arial" w:cs="Arial" w:eastAsia="Arial" w:hAnsi="Arial"/>
                <w:sz w:val="18"/>
                <w:szCs w:val="18"/>
                <w:color w:val="auto"/>
              </w:rPr>
              <w:t>Volatility</w:t>
            </w:r>
          </w:p>
        </w:tc>
        <w:tc>
          <w:tcPr>
            <w:tcW w:w="4980" w:type="dxa"/>
            <w:vAlign w:val="bottom"/>
            <w:gridSpan w:val="2"/>
          </w:tcPr>
          <w:p>
            <w:pPr>
              <w:jc w:val="right"/>
              <w:ind w:right="346"/>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19"/>
                <w:szCs w:val="19"/>
                <w:color w:val="auto"/>
              </w:rPr>
            </w:pPr>
          </w:p>
        </w:tc>
      </w:tr>
      <w:tr>
        <w:trPr>
          <w:trHeight w:val="356"/>
        </w:trPr>
        <w:tc>
          <w:tcPr>
            <w:tcW w:w="2640" w:type="dxa"/>
            <w:vAlign w:val="bottom"/>
          </w:tcPr>
          <w:p>
            <w:pPr>
              <w:spacing w:after="0"/>
              <w:rPr>
                <w:sz w:val="24"/>
                <w:szCs w:val="24"/>
                <w:color w:val="auto"/>
              </w:rPr>
            </w:pPr>
          </w:p>
        </w:tc>
        <w:tc>
          <w:tcPr>
            <w:tcW w:w="3400" w:type="dxa"/>
            <w:vAlign w:val="bottom"/>
          </w:tcPr>
          <w:p>
            <w:pPr>
              <w:jc w:val="right"/>
              <w:ind w:right="1952"/>
              <w:spacing w:after="0"/>
              <w:rPr>
                <w:sz w:val="20"/>
                <w:szCs w:val="20"/>
                <w:color w:val="auto"/>
              </w:rPr>
            </w:pPr>
            <w:r>
              <w:rPr>
                <w:rFonts w:ascii="Arial" w:cs="Arial" w:eastAsia="Arial" w:hAnsi="Arial"/>
                <w:sz w:val="18"/>
                <w:szCs w:val="18"/>
                <w:color w:val="auto"/>
              </w:rPr>
              <w:t>152</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expected term of stock options is the period that options are expected to be outstanding. The risk-free rate is based on the U.S. Treasury yield curve over the expected term of the option that is in effect at the grant date. The dividend yield curve is calculated based on historical dividends. Expected volatility is calculated based on daily historical prices and implied volatility.</w:t>
      </w:r>
    </w:p>
    <w:p>
      <w:pPr>
        <w:spacing w:after="0" w:line="14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As of December 31, 2012 and 2011, 2.650 and 2.950 options were outstanding, none of which were exercisable. Stock-based compensation expense for stock options was $0.5 and $1.0 for the years ended December 31, 2012 and 2011, respectively, and the related tax benefit was $0.2 and $0.4.</w:t>
      </w:r>
    </w:p>
    <w:p>
      <w:pPr>
        <w:spacing w:after="0" w:line="85" w:lineRule="exact"/>
        <w:rPr>
          <w:sz w:val="20"/>
          <w:szCs w:val="20"/>
          <w:color w:val="auto"/>
        </w:rPr>
      </w:pPr>
    </w:p>
    <w:p>
      <w:pPr>
        <w:ind w:right="900" w:firstLine="456"/>
        <w:spacing w:after="0" w:line="332" w:lineRule="auto"/>
        <w:rPr>
          <w:sz w:val="20"/>
          <w:szCs w:val="20"/>
          <w:color w:val="auto"/>
        </w:rPr>
      </w:pPr>
      <w:r>
        <w:rPr>
          <w:rFonts w:ascii="Arial" w:cs="Arial" w:eastAsia="Arial" w:hAnsi="Arial"/>
          <w:sz w:val="16"/>
          <w:szCs w:val="16"/>
          <w:color w:val="auto"/>
        </w:rPr>
        <w:t>Outstanding options have a remaining contractual term of 5.5 years and no intrinsic value as of December 31, 2012. As of December 31, 2012, unrecognized compensation cost for stock options was $3.7 and is expected to be recognized over the next 4.5 years.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Stock Purchase Plan</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Under the Company’s Stock Purchase Plan, eligible employees may purchase shares of the Company’s stock on quarterly purchase dates at an amount equal to 85% of the closing market price of the common stock. Compensation cost for employees is recognized for each three-month period between purchase dates, and is equal to the fair value of the discount received on the purchase of shares. Compensation cost recognized for employees under the Company’s Stock Purchase Plan for the years ended December 31, 2012, 2011 and 2010 was $0.2, $0.2 and $0.1,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Reinsurance</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participates in the industry practice of reinsuring portions of our insurance risk with reinsurance companies in order to diversify risk and manage loss exposure primarily in the Individual Life and Benefits segments.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individual life business, the Company has reinsurance agreements that limit the maximum claim on a single individual to $0.5 prior to 2012, and $1.0 for policies issued in 2012. The reinsurance agreements vary by product and policy issue year. Most of the reinsurance recoverable relates to future policy benefits and is covered by coinsurance agreements where the reinsurer reimburses the Company based on a percentage of claims, which ranges from 50% to 90%, as specified in the reinsurance contracts.</w:t>
      </w:r>
    </w:p>
    <w:p>
      <w:pPr>
        <w:spacing w:after="0" w:line="14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Company reinsures 40% of its group life risk and capped its liability at $0.5 per individual, per line of coverage. The Company reinsures 40% and 90%, respectively, of its short-term and long-term disability risk. The Company reinsures all of its exposure to medical stop loss claims in excess of $1.1.</w:t>
      </w:r>
    </w:p>
    <w:p>
      <w:pPr>
        <w:spacing w:after="0" w:line="8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evaluates the financial condition of its reinsurers to minimize its exposure to losses from reinsurer insolvencies. As of December 31, 2012, $119.6, or 40.0%, of the reinsurance recoverable was related to one reinsurer. The Company analyzes reinsurance recoverables according to the credit ratings of its reinsurers and is not aware of any major reinsurers currently experiencing financial difficulties. Of the total amount due from reinsurers as of both December 31, 2012 and 2011, 99.6% were with reinsurers rated A- or higher by A.M. Best. The Company had no write-offs or reserve for uncollectible reinsurance in 2012, 2011 or 2010.</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Reinsurance recoverables are composed of the following amounts: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Life insurance</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Reinsurance recoverables on:</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 held under deposit contracts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$ 89.1</w:t>
            </w: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$ 85.5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tcPr>
          <w:p>
            <w:pPr>
              <w:ind w:left="440"/>
              <w:spacing w:after="0"/>
              <w:rPr>
                <w:sz w:val="20"/>
                <w:szCs w:val="20"/>
                <w:color w:val="auto"/>
              </w:rPr>
            </w:pPr>
            <w:r>
              <w:rPr>
                <w:rFonts w:ascii="Arial" w:cs="Arial" w:eastAsia="Arial" w:hAnsi="Arial"/>
                <w:sz w:val="18"/>
                <w:szCs w:val="18"/>
                <w:color w:val="auto"/>
              </w:rPr>
              <w:t>Future policy benefits</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142.9</w:t>
            </w: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Paid claims, expense allowance and premium tax recoverables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2.8</w:t>
            </w: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tcPr>
          <w:p>
            <w:pPr>
              <w:ind w:left="440"/>
              <w:spacing w:after="0"/>
              <w:rPr>
                <w:sz w:val="20"/>
                <w:szCs w:val="20"/>
                <w:color w:val="auto"/>
              </w:rPr>
            </w:pPr>
            <w:r>
              <w:rPr>
                <w:rFonts w:ascii="Arial" w:cs="Arial" w:eastAsia="Arial" w:hAnsi="Arial"/>
                <w:sz w:val="18"/>
                <w:szCs w:val="18"/>
                <w:color w:val="auto"/>
              </w:rPr>
              <w:t>Policy and contract claims</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3"/>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4.5</w:t>
            </w: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life insurance and annuities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239.3</w:t>
            </w: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Accident and health insurance</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recoverables on:</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tcPr>
          <w:p>
            <w:pPr>
              <w:ind w:left="440"/>
              <w:spacing w:after="0"/>
              <w:rPr>
                <w:sz w:val="20"/>
                <w:szCs w:val="20"/>
                <w:color w:val="auto"/>
              </w:rPr>
            </w:pPr>
            <w:r>
              <w:rPr>
                <w:rFonts w:ascii="Arial" w:cs="Arial" w:eastAsia="Arial" w:hAnsi="Arial"/>
                <w:sz w:val="18"/>
                <w:szCs w:val="18"/>
                <w:color w:val="auto"/>
              </w:rPr>
              <w:t>Future policy benefits</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53.4</w:t>
            </w: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Paid claims, expense allowance and premium tax recoverables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3.7</w:t>
            </w: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tcPr>
          <w:p>
            <w:pPr>
              <w:ind w:left="440"/>
              <w:spacing w:after="0"/>
              <w:rPr>
                <w:sz w:val="20"/>
                <w:szCs w:val="20"/>
                <w:color w:val="auto"/>
              </w:rPr>
            </w:pPr>
            <w:r>
              <w:rPr>
                <w:rFonts w:ascii="Arial" w:cs="Arial" w:eastAsia="Arial" w:hAnsi="Arial"/>
                <w:sz w:val="18"/>
                <w:szCs w:val="18"/>
                <w:color w:val="auto"/>
              </w:rPr>
              <w:t>Policy and contract claims</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3"/>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5.7</w:t>
            </w: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accident and health insurance</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62.8</w:t>
            </w: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20" w:type="dxa"/>
            <w:vAlign w:val="bottom"/>
            <w:vMerge w:val="restart"/>
          </w:tcPr>
          <w:p>
            <w:pPr>
              <w:spacing w:after="0"/>
              <w:rPr>
                <w:sz w:val="20"/>
                <w:szCs w:val="20"/>
                <w:color w:val="auto"/>
              </w:rPr>
            </w:pPr>
            <w:r>
              <w:rPr>
                <w:rFonts w:ascii="Arial" w:cs="Arial" w:eastAsia="Arial" w:hAnsi="Arial"/>
                <w:sz w:val="18"/>
                <w:szCs w:val="18"/>
                <w:color w:val="auto"/>
              </w:rPr>
              <w:t>Total reinsurance recoverables</w:t>
            </w: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2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302.1</w:t>
            </w:r>
          </w:p>
        </w:tc>
        <w:tc>
          <w:tcPr>
            <w:tcW w:w="60" w:type="dxa"/>
            <w:vAlign w:val="bottom"/>
            <w:vMerge w:val="continue"/>
          </w:tcPr>
          <w:p>
            <w:pPr>
              <w:spacing w:after="0"/>
              <w:rPr>
                <w:sz w:val="19"/>
                <w:szCs w:val="19"/>
                <w:color w:val="auto"/>
              </w:rPr>
            </w:pPr>
          </w:p>
        </w:tc>
        <w:tc>
          <w:tcPr>
            <w:tcW w:w="460" w:type="dxa"/>
            <w:vAlign w:val="bottom"/>
            <w:gridSpan w:val="2"/>
          </w:tcPr>
          <w:p>
            <w:pPr>
              <w:spacing w:after="0"/>
              <w:rPr>
                <w:sz w:val="19"/>
                <w:szCs w:val="19"/>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295.6</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jc w:val="right"/>
              <w:ind w:right="1632"/>
              <w:spacing w:after="0"/>
              <w:rPr>
                <w:sz w:val="20"/>
                <w:szCs w:val="20"/>
                <w:color w:val="auto"/>
              </w:rPr>
            </w:pPr>
            <w:r>
              <w:rPr>
                <w:rFonts w:ascii="Arial" w:cs="Arial" w:eastAsia="Arial" w:hAnsi="Arial"/>
                <w:sz w:val="18"/>
                <w:szCs w:val="18"/>
                <w:color w:val="auto"/>
                <w:w w:val="89"/>
              </w:rPr>
              <w:t>The following table sets forth net life insurance in force:</w:t>
            </w: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6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As of December 31,</w:t>
            </w: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2"/>
                <w:szCs w:val="12"/>
                <w:color w:val="auto"/>
              </w:rPr>
            </w:pPr>
          </w:p>
        </w:tc>
        <w:tc>
          <w:tcPr>
            <w:tcW w:w="1180" w:type="dxa"/>
            <w:vAlign w:val="bottom"/>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ind w:right="172"/>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Direct life insurance in force</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$ 55,750.6</w:t>
            </w: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$ 54,073.0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$ 54,762.3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Amounts assumed from other companies</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215.5</w:t>
            </w:r>
          </w:p>
        </w:tc>
        <w:tc>
          <w:tcPr>
            <w:tcW w:w="3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219.8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204.2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Amounts ceded to other companies</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9"/>
              </w:rPr>
              <w:t>(24,153.4)</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(23,385.9)</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(23,887.4)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life insurance in force</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$ 31,812.7</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$ 30,906.9</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$ 31,079.1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amount assumed to net</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0.68%</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0.71%</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680" w:type="dxa"/>
            <w:vAlign w:val="bottom"/>
            <w:gridSpan w:val="2"/>
          </w:tcPr>
          <w:p>
            <w:pPr>
              <w:jc w:val="right"/>
              <w:ind w:right="212"/>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60" w:right="11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 of reinsurance on premiums and policy fees, contract charges, and other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For the Years Ended</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w w:val="76"/>
              </w:rPr>
              <w:t>2012</w:t>
            </w:r>
          </w:p>
        </w:tc>
        <w:tc>
          <w:tcPr>
            <w:tcW w:w="220" w:type="dxa"/>
            <w:vAlign w:val="bottom"/>
          </w:tcPr>
          <w:p>
            <w:pPr>
              <w:spacing w:after="0"/>
              <w:rPr>
                <w:sz w:val="12"/>
                <w:szCs w:val="12"/>
                <w:color w:val="auto"/>
              </w:rPr>
            </w:pPr>
          </w:p>
        </w:tc>
        <w:tc>
          <w:tcPr>
            <w:tcW w:w="900" w:type="dxa"/>
            <w:vAlign w:val="bottom"/>
            <w:gridSpan w:val="2"/>
          </w:tcPr>
          <w:p>
            <w:pPr>
              <w:jc w:val="center"/>
              <w:ind w:left="337"/>
              <w:spacing w:after="0" w:line="142" w:lineRule="exact"/>
              <w:rPr>
                <w:sz w:val="20"/>
                <w:szCs w:val="20"/>
                <w:color w:val="auto"/>
              </w:rPr>
            </w:pPr>
            <w:r>
              <w:rPr>
                <w:rFonts w:ascii="Arial" w:cs="Arial" w:eastAsia="Arial" w:hAnsi="Arial"/>
                <w:sz w:val="14"/>
                <w:szCs w:val="14"/>
                <w:b w:val="1"/>
                <w:bCs w:val="1"/>
                <w:color w:val="auto"/>
                <w:w w:val="89"/>
              </w:rPr>
              <w:t>2011</w:t>
            </w:r>
          </w:p>
        </w:tc>
        <w:tc>
          <w:tcPr>
            <w:tcW w:w="480" w:type="dxa"/>
            <w:vAlign w:val="bottom"/>
          </w:tcPr>
          <w:p>
            <w:pPr>
              <w:spacing w:after="0"/>
              <w:rPr>
                <w:sz w:val="12"/>
                <w:szCs w:val="12"/>
                <w:color w:val="auto"/>
              </w:rPr>
            </w:pPr>
          </w:p>
        </w:tc>
        <w:tc>
          <w:tcPr>
            <w:tcW w:w="64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Premiums:</w:t>
            </w:r>
          </w:p>
        </w:tc>
        <w:tc>
          <w:tcPr>
            <w:tcW w:w="10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Direct:</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Accident and health</w:t>
            </w:r>
          </w:p>
        </w:tc>
        <w:tc>
          <w:tcPr>
            <w:tcW w:w="1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$567.1</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$457.1</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rPr>
              <w:t>Life insurance</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86.4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85.9</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653.5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543.0</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Assumed:</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Accident and health (1)</w:t>
            </w:r>
          </w:p>
        </w:tc>
        <w:tc>
          <w:tcPr>
            <w:tcW w:w="1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16.2</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56.4</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rPr>
              <w:t>Life insurance</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56.5</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Ceded:</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Accident and health</w:t>
            </w:r>
          </w:p>
        </w:tc>
        <w:tc>
          <w:tcPr>
            <w:tcW w:w="1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(23.6)</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(19.9)</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rPr>
              <w:t>Life insurance</w:t>
            </w:r>
          </w:p>
        </w:tc>
        <w:tc>
          <w:tcPr>
            <w:tcW w:w="10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(41.2)</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(39.1)</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(64.8)</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(59.0)</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Total premiums</w:t>
            </w:r>
          </w:p>
        </w:tc>
        <w:tc>
          <w:tcPr>
            <w:tcW w:w="10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00" w:type="dxa"/>
            <w:vAlign w:val="bottom"/>
            <w:gridSpan w:val="2"/>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605.0</w:t>
            </w:r>
          </w:p>
        </w:tc>
        <w:tc>
          <w:tcPr>
            <w:tcW w:w="22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540.5</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Policy fees and contract charges:</w:t>
            </w:r>
          </w:p>
        </w:tc>
        <w:tc>
          <w:tcPr>
            <w:tcW w:w="10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Direct life insurance</w:t>
            </w:r>
          </w:p>
        </w:tc>
        <w:tc>
          <w:tcPr>
            <w:tcW w:w="18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124.7</w:t>
            </w: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118.2</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Ceded life insurance</w:t>
            </w: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(5.4)</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(5.6)</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Total policy fees and contract charges (2)</w:t>
            </w:r>
          </w:p>
        </w:tc>
        <w:tc>
          <w:tcPr>
            <w:tcW w:w="10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119.3</w:t>
            </w:r>
          </w:p>
        </w:tc>
        <w:tc>
          <w:tcPr>
            <w:tcW w:w="22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112.6</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premiums and other amounts assessed to policyholders</w:t>
            </w:r>
          </w:p>
        </w:tc>
        <w:tc>
          <w:tcPr>
            <w:tcW w:w="1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724.3</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653.1</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579.4</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Percentage of assumed to total premiums and other amounts assessed to policyholders (1)</w:t>
            </w:r>
          </w:p>
        </w:tc>
        <w:tc>
          <w:tcPr>
            <w:tcW w:w="10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2.25%</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8.65%</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1" w:lineRule="exact"/>
        <w:rPr>
          <w:sz w:val="20"/>
          <w:szCs w:val="20"/>
          <w:color w:val="auto"/>
        </w:rPr>
      </w:pPr>
    </w:p>
    <w:p>
      <w:pPr>
        <w:ind w:left="460" w:right="280" w:hanging="452"/>
        <w:spacing w:after="0" w:line="286"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increase in assumed accident and health premiums and the percentage of assumed to total premiums and other amounts assessed to policyholders in 2011 is related to the reinsurance agreement executed with American United Life Insurance Company (AUL) during 2011.</w:t>
      </w:r>
    </w:p>
    <w:p>
      <w:pPr>
        <w:ind w:left="460" w:right="80" w:hanging="452"/>
        <w:spacing w:after="0" w:line="302"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Total policy fees and contract charges represents amounts charged to policyholders other than premiums and recorded in policy fees, contract charges and other on the consolidated statements of income. This primarily consists of costs of insurance charges. Ceded reinsurance reduced policyholder benefits and claims by $63.9, $55.6 and $51.0 for the years ended December 31, 2012, 2011 and 2010, respectively.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Policy and Contract Claims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the beginning and ending reserve balances for policy and contract claims: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2"/>
              </w:rPr>
              <w:t>As of December 31,</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50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 (1)</w:t>
            </w:r>
          </w:p>
        </w:tc>
        <w:tc>
          <w:tcPr>
            <w:tcW w:w="44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 (1)</w:t>
            </w:r>
          </w:p>
        </w:tc>
        <w:tc>
          <w:tcPr>
            <w:tcW w:w="1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w:t>
            </w:r>
          </w:p>
        </w:tc>
        <w:tc>
          <w:tcPr>
            <w:tcW w:w="2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$170.9</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$ 116.6</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Less: reinsurance recoverables</w:t>
            </w:r>
          </w:p>
        </w:tc>
        <w:tc>
          <w:tcPr>
            <w:tcW w:w="2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balance as of January 1</w:t>
            </w:r>
          </w:p>
        </w:tc>
        <w:tc>
          <w:tcPr>
            <w:tcW w:w="2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161.2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4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117.1</w:t>
            </w:r>
          </w:p>
        </w:tc>
      </w:tr>
      <w:tr>
        <w:trPr>
          <w:trHeight w:val="216"/>
        </w:trPr>
        <w:tc>
          <w:tcPr>
            <w:tcW w:w="9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Assumed related to AUL transaction</w:t>
            </w:r>
          </w:p>
        </w:tc>
        <w:tc>
          <w:tcPr>
            <w:tcW w:w="2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Incurred related to insured events of:</w:t>
            </w:r>
          </w:p>
        </w:tc>
        <w:tc>
          <w:tcPr>
            <w:tcW w:w="2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The current year</w:t>
            </w:r>
          </w:p>
        </w:tc>
        <w:tc>
          <w:tcPr>
            <w:tcW w:w="2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454.0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403.4</w:t>
            </w:r>
          </w:p>
        </w:tc>
        <w:tc>
          <w:tcPr>
            <w:tcW w:w="4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350.4</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Prior years</w:t>
            </w:r>
          </w:p>
        </w:tc>
        <w:tc>
          <w:tcPr>
            <w:tcW w:w="2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(9.5)</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(12.3)</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r>
      <w:tr>
        <w:trPr>
          <w:trHeight w:val="223"/>
        </w:trPr>
        <w:tc>
          <w:tcPr>
            <w:tcW w:w="9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Total incurred</w:t>
            </w:r>
          </w:p>
        </w:tc>
        <w:tc>
          <w:tcPr>
            <w:tcW w:w="21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444.5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391.1</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346.8</w:t>
            </w:r>
          </w:p>
        </w:tc>
        <w:tc>
          <w:tcPr>
            <w:tcW w:w="100" w:type="dxa"/>
            <w:vAlign w:val="bottom"/>
          </w:tcPr>
          <w:p>
            <w:pPr>
              <w:spacing w:after="0"/>
              <w:rPr>
                <w:sz w:val="19"/>
                <w:szCs w:val="19"/>
                <w:color w:val="auto"/>
              </w:rPr>
            </w:pPr>
          </w:p>
        </w:tc>
      </w:tr>
      <w:tr>
        <w:trPr>
          <w:trHeight w:val="217"/>
        </w:trPr>
        <w:tc>
          <w:tcPr>
            <w:tcW w:w="9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 related to insured events of:</w:t>
            </w:r>
          </w:p>
        </w:tc>
        <w:tc>
          <w:tcPr>
            <w:tcW w:w="2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The current year</w:t>
            </w:r>
          </w:p>
        </w:tc>
        <w:tc>
          <w:tcPr>
            <w:tcW w:w="2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310.9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282.6</w:t>
            </w:r>
          </w:p>
        </w:tc>
        <w:tc>
          <w:tcPr>
            <w:tcW w:w="4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238.4</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Prior years</w:t>
            </w:r>
          </w:p>
        </w:tc>
        <w:tc>
          <w:tcPr>
            <w:tcW w:w="2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shd w:val="clear" w:color="auto" w:fill="CCEEFF"/>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Total paid</w:t>
            </w:r>
          </w:p>
        </w:tc>
        <w:tc>
          <w:tcPr>
            <w:tcW w:w="212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453.7</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351.1</w:t>
            </w:r>
          </w:p>
        </w:tc>
        <w:tc>
          <w:tcPr>
            <w:tcW w:w="10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balance as of December 31</w:t>
            </w:r>
          </w:p>
        </w:tc>
        <w:tc>
          <w:tcPr>
            <w:tcW w:w="2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4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112.8</w:t>
            </w: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Add: reinsurance recoverables</w:t>
            </w:r>
          </w:p>
        </w:tc>
        <w:tc>
          <w:tcPr>
            <w:tcW w:w="2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w:t>
            </w:r>
          </w:p>
        </w:tc>
        <w:tc>
          <w:tcPr>
            <w:tcW w:w="2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162.2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170.9</w:t>
            </w:r>
          </w:p>
        </w:tc>
        <w:tc>
          <w:tcPr>
            <w:tcW w:w="4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$ 116.6</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20" w:hanging="452"/>
        <w:spacing w:after="0" w:line="332"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2012, the Company refined its methodology for identifying the incurred date of medical stop-loss claims. The information for 2011 and 2010 has been updated to reflect this refined methodology, and there was no impact to the total claims incurred or paid in either year.</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uses estimates in determining its liability for policy and contract claims. These estimates are based on historical claim payment patterns and expected loss ratios to provide for the inherent variability in claim patterns and severity. For the year ended December 31, 2012, the change in prior year incurred claims was primarily due to favorable claims experience for medical stop-loss, primarily related to the favorable experience related to the business we assumed in July 2011. For the year ended December 31, 2011, the change in prior year incurred claims was primarily due to favorable claims experience for medical stop-loss, offset by higher than expected individual life claims. For the year ended December 31, 2010, the change in prior year incurred claims was primarily due to slightly lower than expected individual life and medical stop-loss claims.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Notes Payable and Credit Facilities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Efficient Notes (CENts) Due 2067</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 October 10, 2007, the Company issued $150.0 aggregate principal amount CENts with a scheduled maturity date of October 15, 2037, subject to certain limitations, with a final maturity date of October 15, 2067. The Company issued the CENts at a discount, yielding $149.8. For the initial 10-year period following the original issuance date, to, but not including October 15, 2017, the CENts carry a fixed interest rate of 8.300% payable semi-annually. From October 15, 2017, until the final maturity date of October 15, 2067, interest on the CENts will accrue at a variable annual rate equal to the three-month LIBOR plus 4.177%, payable quarterly. The effective interest rate on the CENts is 9.39%, including the impact of a related terminated cash flow hedge.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Company is required to use commercially reasonable efforts to sell enough qualifying capital securities to permit repayment of the CENts at the scheduled maturity date or on each interest payment date thereafter. Any remaining outstanding principal amount will be due on October 15, 2067.</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Subject to certain conditions, the Company has the right, on one or more occasions, to defer the payment of interest on the CENts during any period up to ten years without giving rise to an event of default. Deferred interest will accumulate additional interest at an annual rate equal to the annual interest rate then applicable to the CENts.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CENts are unsecured junior subordinated obligations. The Company can redeem the CENts at its option, in whole or in part, on October 15, 2017, and on each interest payment date thereafter at a redemption price of 100% of the principal amount being redeemed plus accrued but unpaid interest. The Company can redeem the CENts at its option, prior to October 15, 2017, in whole or in part, at a redemption price of 100% of the principal amount being redeemed or, if greater, a make-whole price, plus accrued and unpaid interest.</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connection with the offering of the CENts, the Company entered into a “replacement capital covenant” for the benefit of the holders of the senior notes (see below). Under the terms of the replacement capital covenant, the Company may not redeem or repay the CENts prior to October 15, 2047 unless the redemption or repayment is financed from the offering of replacement capital securities, as specified in the covenant.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Notes Due 2016</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March 30, 2006, the Company issued $300.0 of 6.125% senior notes due on April 1, 2016, which were issued at a discount yielding $298.7. Interest on the senior notes is payable semi-annually in arrears. The effective interest rate on the senior notes is 6.11%, including the impact of a related terminated cash flow hedge.</w:t>
      </w:r>
    </w:p>
    <w:p>
      <w:pPr>
        <w:spacing w:after="0" w:line="140"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The senior notes are unsecured senior obligations and are equal in right of payment to all existing and future unsecured senior indebtedness. These notes are redeemable, in whole or in part, at the option of the Company at any time or from time to time at a redemption price equal to the greater of: (1) 100% of the aggregate principal amount of the notes to be redeemed or (2) the sum of the present value of the remaining scheduled payments of principal and interest on the senior notes, discounted to the redemption date on a semi-annual basis at a prevailing U.S. Treasury rate plus 25 basis points, together in each case with accrued interest payments to the redemption date.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December 14, 2011, the Company entered into a $300.0 senior unsecured revolving credit agreement with a syndicate of lending institutions led by JPMorgan Chase Bank, N.A. The credit facility also provides access to up to an additional $100.0 of financing, subject to the availability of additional commitments. The credit facility is set to mature on December 14, 2015. The revolving credit facility is available to provide support for working capital, capital expenditures, and other general corporate purposes.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Borrowings under the agreement will bear interest at a variable annual rate based on adjusted LIBOR or the alternate base rate (“ABR”) plus, in each case, an applicable margin. The Company is required to pay facility fees ranging from 0.10% to 0.30%, depending on the Company’s rating with Moody’s or S&amp;P, on the daily amount of the commitment. Under the terms of the agreement, the Company is required to maintain a debt-to-capitalization ratio, excluding AOCI, below 35%, and each of the Company’s material insurance subsidiaries must maintain a risk-based capital ratio of at least 225%, as well as other customary affirmative covenants.</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Effective December 14, 2011, concurrently with entry into the unsecured revolving line of credit agreement referenced above, the Company terminated its prior $200.0 credit agreement, dated August 16, 2007, which was set to mature on August 16, 2012. At termination, the Company had no borrowings outstanding under the credit agreement and was in compliance with all covenants.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380"/>
          </w:cols>
          <w:pgMar w:left="240" w:top="459" w:right="2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December 31, 2012 and 2011, and during the years ended December 31, 2012, 2011 and 2010, the Company had no borrowings outstanding under its revolving credit facilities and was in compliance with all covenants.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Company files income tax returns in the U.S. federal and various state jurisdictions. The Company’s federal income tax returns have been examined and closing agreements have been executed with the Internal Revenue Service, or the statute of limitations has expired for all tax periods through December 31, 2008. The Company is not currently subject to any state income tax exams.</w:t>
      </w:r>
    </w:p>
    <w:p>
      <w:pPr>
        <w:spacing w:after="0" w:line="140" w:lineRule="exact"/>
        <w:rPr>
          <w:sz w:val="20"/>
          <w:szCs w:val="20"/>
          <w:color w:val="auto"/>
        </w:rPr>
      </w:pPr>
    </w:p>
    <w:p>
      <w:pPr>
        <w:jc w:val="both"/>
        <w:ind w:right="180" w:firstLine="456"/>
        <w:spacing w:after="0" w:line="268" w:lineRule="auto"/>
        <w:rPr>
          <w:sz w:val="20"/>
          <w:szCs w:val="20"/>
          <w:color w:val="auto"/>
        </w:rPr>
      </w:pPr>
      <w:r>
        <w:rPr>
          <w:rFonts w:ascii="Arial" w:cs="Arial" w:eastAsia="Arial" w:hAnsi="Arial"/>
          <w:sz w:val="18"/>
          <w:szCs w:val="18"/>
          <w:color w:val="auto"/>
        </w:rPr>
        <w:t>Differences between income taxes computed by applying the U.S. federal income tax rate of 35% to income from operations before income taxes and the provision for income taxes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w w:val="86"/>
              </w:rPr>
              <w:t>For the Years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132"/>
              <w:spacing w:after="0" w:line="142" w:lineRule="exact"/>
              <w:rPr>
                <w:sz w:val="20"/>
                <w:szCs w:val="20"/>
                <w:color w:val="auto"/>
              </w:rPr>
            </w:pPr>
            <w:r>
              <w:rPr>
                <w:rFonts w:ascii="Arial" w:cs="Arial" w:eastAsia="Arial" w:hAnsi="Arial"/>
                <w:sz w:val="14"/>
                <w:szCs w:val="14"/>
                <w:b w:val="1"/>
                <w:bCs w:val="1"/>
                <w:color w:val="auto"/>
                <w:w w:val="99"/>
              </w:rPr>
              <w:t>(As adjusted)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132"/>
              <w:spacing w:after="0" w:line="142" w:lineRule="exact"/>
              <w:rPr>
                <w:sz w:val="20"/>
                <w:szCs w:val="20"/>
                <w:color w:val="auto"/>
              </w:rPr>
            </w:pPr>
            <w:r>
              <w:rPr>
                <w:rFonts w:ascii="Arial" w:cs="Arial" w:eastAsia="Arial" w:hAnsi="Arial"/>
                <w:sz w:val="14"/>
                <w:szCs w:val="14"/>
                <w:b w:val="1"/>
                <w:bCs w:val="1"/>
                <w:color w:val="auto"/>
                <w:w w:val="99"/>
              </w:rPr>
              <w:t>(As adjusted)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operations before income taxes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4"/>
              </w:rPr>
              <w:t>270.1</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273.2</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278.3</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Computed “expected” tax expense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94.5</w:t>
            </w:r>
          </w:p>
        </w:tc>
        <w:tc>
          <w:tcPr>
            <w:tcW w:w="86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35.0%</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95.6</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97.4</w:t>
            </w:r>
          </w:p>
        </w:tc>
        <w:tc>
          <w:tcPr>
            <w:tcW w:w="3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credit investment credits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3"/>
              </w:rPr>
              <w:t>(33.5)</w:t>
            </w:r>
          </w:p>
        </w:tc>
        <w:tc>
          <w:tcPr>
            <w:tcW w:w="8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w w:val="97"/>
              </w:rPr>
              <w:t>(12.4)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(17.3)</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(10.9)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Separate account dividend received deduction</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w:t>
            </w:r>
          </w:p>
        </w:tc>
        <w:tc>
          <w:tcPr>
            <w:tcW w:w="86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to deferred taxes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4.7</w:t>
            </w:r>
          </w:p>
        </w:tc>
        <w:tc>
          <w:tcPr>
            <w:tcW w:w="8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Other</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0.1</w:t>
            </w:r>
          </w:p>
        </w:tc>
        <w:tc>
          <w:tcPr>
            <w:tcW w:w="86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64.7</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xml:space="preserve">24.0 %   </w:t>
            </w: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77.4</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28.3 %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30.4 %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effects of temporary differences that gave rise to the deferred income tax assets and liabilities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9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(As adjusted)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Deferred income tax assets:</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Adjustments to life policy liabilities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$265.3</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Capitalization of policy acquisition costs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60.6</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Intangibles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Performance share plan and performance units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Other liabilities accruals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Non-life net operating loss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Other</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income tax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359.2</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i w:val="1"/>
                <w:iCs w:val="1"/>
                <w:color w:val="auto"/>
              </w:rPr>
              <w:t>Deferred income tax liabilities:</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policy acquisition costs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128.8</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Basis adjustment on securities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118.0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Unrealized gains on investment securities (net of DAC and DSI adjustment: </w:t>
            </w:r>
            <w:r>
              <w:rPr>
                <w:rFonts w:ascii="Arial" w:cs="Arial" w:eastAsia="Arial" w:hAnsi="Arial"/>
                <w:sz w:val="18"/>
                <w:szCs w:val="18"/>
                <w:b w:val="1"/>
                <w:bCs w:val="1"/>
                <w:color w:val="auto"/>
              </w:rPr>
              <w:t>$74.2</w:t>
            </w:r>
            <w:r>
              <w:rPr>
                <w:rFonts w:ascii="Arial" w:cs="Arial" w:eastAsia="Arial" w:hAnsi="Arial"/>
                <w:sz w:val="18"/>
                <w:szCs w:val="18"/>
                <w:color w:val="auto"/>
              </w:rPr>
              <w:t xml:space="preserve"> and $63.8, respectively)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738.3</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Other</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income tax liabilities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988.1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790.3</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Net deferred income tax liability</w:t>
            </w: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8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628.9</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jc w:val="right"/>
              <w:ind w:right="3552"/>
              <w:spacing w:after="0"/>
              <w:rPr>
                <w:sz w:val="20"/>
                <w:szCs w:val="20"/>
                <w:color w:val="auto"/>
              </w:rPr>
            </w:pPr>
            <w:r>
              <w:rPr>
                <w:rFonts w:ascii="Arial" w:cs="Arial" w:eastAsia="Arial" w:hAnsi="Arial"/>
                <w:sz w:val="18"/>
                <w:szCs w:val="18"/>
                <w:color w:val="auto"/>
              </w:rPr>
              <w:t>158</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4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Included in the 2012 deferred tax assets were gross federal net operating loss carry-forwards attributable to the non-life companies in the amount of $59.2, due to expire under current law during 2027 through 2032. The Company is required to establish a valuation allowance for any portion of the deferred tax assets that management believes will not be realized. Based on an analysis of the Company’s tax position, management believes that it is more likely than not that the results of future operations will generate sufficient taxable income to enable the Company to utilize all of its deferred tax assets. Accordingly, no valuation allowance for deferred tax assets has been established as of December 31, 2012 and 2011.</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includes penalties and interest accrued related to unrecognized tax benefits in the calculation of income tax expense. As of December 31, 2012, the Company has no unrecognized tax benefits and does not expect significant changes within the next year.</w:t>
      </w:r>
    </w:p>
    <w:p>
      <w:pPr>
        <w:spacing w:after="0" w:line="207" w:lineRule="exact"/>
        <w:rPr>
          <w:sz w:val="20"/>
          <w:szCs w:val="20"/>
          <w:color w:val="auto"/>
        </w:rPr>
      </w:pPr>
    </w:p>
    <w:p>
      <w:pPr>
        <w:jc w:val="right"/>
        <w:ind w:right="8560"/>
        <w:spacing w:after="0"/>
        <w:rPr>
          <w:sz w:val="20"/>
          <w:szCs w:val="20"/>
          <w:color w:val="auto"/>
        </w:rPr>
      </w:pPr>
      <w:r>
        <w:rPr>
          <w:rFonts w:ascii="Arial" w:cs="Arial" w:eastAsia="Arial" w:hAnsi="Arial"/>
          <w:sz w:val="15"/>
          <w:szCs w:val="15"/>
          <w:b w:val="1"/>
          <w:bCs w:val="1"/>
          <w:color w:val="auto"/>
        </w:rPr>
        <w:t>14. Commitments and Contingencies</w:t>
      </w:r>
    </w:p>
    <w:p>
      <w:pPr>
        <w:spacing w:after="0" w:line="131" w:lineRule="exact"/>
        <w:rPr>
          <w:sz w:val="20"/>
          <w:szCs w:val="20"/>
          <w:color w:val="auto"/>
        </w:rPr>
      </w:pPr>
    </w:p>
    <w:p>
      <w:pPr>
        <w:jc w:val="right"/>
        <w:ind w:right="8540"/>
        <w:spacing w:after="0"/>
        <w:rPr>
          <w:sz w:val="20"/>
          <w:szCs w:val="20"/>
          <w:color w:val="auto"/>
        </w:rPr>
      </w:pPr>
      <w:r>
        <w:rPr>
          <w:rFonts w:ascii="Arial" w:cs="Arial" w:eastAsia="Arial" w:hAnsi="Arial"/>
          <w:sz w:val="16"/>
          <w:szCs w:val="16"/>
          <w:i w:val="1"/>
          <w:iCs w:val="1"/>
          <w:color w:val="auto"/>
        </w:rPr>
        <w:t>Investments in Limited Partnerships</w:t>
      </w:r>
    </w:p>
    <w:p>
      <w:pPr>
        <w:spacing w:after="0" w:line="113" w:lineRule="exact"/>
        <w:rPr>
          <w:sz w:val="20"/>
          <w:szCs w:val="20"/>
          <w:color w:val="auto"/>
        </w:rPr>
      </w:pPr>
    </w:p>
    <w:p>
      <w:pPr>
        <w:jc w:val="both"/>
        <w:ind w:right="560" w:firstLine="456"/>
        <w:spacing w:after="0" w:line="306" w:lineRule="auto"/>
        <w:rPr>
          <w:sz w:val="20"/>
          <w:szCs w:val="20"/>
          <w:color w:val="auto"/>
        </w:rPr>
      </w:pPr>
      <w:r>
        <w:rPr>
          <w:rFonts w:ascii="Arial" w:cs="Arial" w:eastAsia="Arial" w:hAnsi="Arial"/>
          <w:sz w:val="16"/>
          <w:szCs w:val="16"/>
          <w:color w:val="auto"/>
        </w:rPr>
        <w:t>The Company invests in limited partnership interests related to tax credit investments. The Company unconditionally committed to provide capital contributions for these investments of $296.8, of which $34.0 was related to partnerships entered into during the year ended December 31, 2012. Capital contributions of $256.2 were paid as of December 31, 2012, with the remaining expected cash capital contributions as follows:</w:t>
      </w:r>
    </w:p>
    <w:p>
      <w:pPr>
        <w:spacing w:after="0" w:line="1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160" w:type="dxa"/>
            <w:vAlign w:val="bottom"/>
            <w:gridSpan w:val="4"/>
          </w:tcPr>
          <w:p>
            <w:pPr>
              <w:ind w:left="2100"/>
              <w:spacing w:after="0"/>
              <w:rPr>
                <w:sz w:val="20"/>
                <w:szCs w:val="20"/>
                <w:color w:val="auto"/>
              </w:rPr>
            </w:pPr>
            <w:r>
              <w:rPr>
                <w:rFonts w:ascii="Arial" w:cs="Arial" w:eastAsia="Arial" w:hAnsi="Arial"/>
                <w:sz w:val="14"/>
                <w:szCs w:val="14"/>
                <w:b w:val="1"/>
                <w:bCs w:val="1"/>
                <w:color w:val="auto"/>
                <w:w w:val="92"/>
              </w:rPr>
              <w:t>Expected Capital</w:t>
            </w: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Contributions</w:t>
            </w: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2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2014</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Thereafter</w:t>
            </w:r>
          </w:p>
        </w:tc>
        <w:tc>
          <w:tcPr>
            <w:tcW w:w="2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expected capital contributions</w:t>
            </w:r>
          </w:p>
        </w:tc>
        <w:tc>
          <w:tcPr>
            <w:tcW w:w="2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 Company has also committed to invest up to $62.5 in private equity funds, of which the Company has remaining commitments of $16.4 as of December 31, 2012. The remaining term of these commitments ends in 2016. The Company will provide capital contributions to the partnerships, up to the committed amount, at the discretion of the general partners, subject to certain contribution limits.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Company has office space and certain equipment under leases that expire at various dates through 2022, subject to certain renewal options. The Company accounts for these leases as operating leases.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commitments, including cost escalation clauses, for the next five years and thereafter are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300" w:type="dxa"/>
            <w:vAlign w:val="bottom"/>
            <w:gridSpan w:val="4"/>
          </w:tcPr>
          <w:p>
            <w:pPr>
              <w:ind w:left="4300"/>
              <w:spacing w:after="0"/>
              <w:rPr>
                <w:sz w:val="20"/>
                <w:szCs w:val="20"/>
                <w:color w:val="auto"/>
              </w:rPr>
            </w:pPr>
            <w:r>
              <w:rPr>
                <w:rFonts w:ascii="Arial" w:cs="Arial" w:eastAsia="Arial" w:hAnsi="Arial"/>
                <w:sz w:val="14"/>
                <w:szCs w:val="14"/>
                <w:b w:val="1"/>
                <w:bCs w:val="1"/>
                <w:color w:val="auto"/>
                <w:w w:val="89"/>
              </w:rPr>
              <w:t>Lease Payments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top w:val="single" w:sz="8" w:color="CCEEFF"/>
            </w:tcBorders>
            <w:shd w:val="clear" w:color="auto" w:fill="CCEEFF"/>
          </w:tcPr>
          <w:p>
            <w:pPr>
              <w:ind w:left="420"/>
              <w:spacing w:after="0" w:line="202" w:lineRule="exact"/>
              <w:rPr>
                <w:sz w:val="20"/>
                <w:szCs w:val="20"/>
                <w:color w:val="auto"/>
              </w:rPr>
            </w:pPr>
            <w:r>
              <w:rPr>
                <w:rFonts w:ascii="Arial" w:cs="Arial" w:eastAsia="Arial" w:hAnsi="Arial"/>
                <w:sz w:val="18"/>
                <w:szCs w:val="18"/>
                <w:color w:val="auto"/>
              </w:rPr>
              <w:t>2013</w:t>
            </w:r>
          </w:p>
        </w:tc>
        <w:tc>
          <w:tcPr>
            <w:tcW w:w="4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420"/>
              <w:spacing w:after="0"/>
              <w:rPr>
                <w:sz w:val="20"/>
                <w:szCs w:val="20"/>
                <w:color w:val="auto"/>
              </w:rPr>
            </w:pPr>
            <w:r>
              <w:rPr>
                <w:rFonts w:ascii="Arial" w:cs="Arial" w:eastAsia="Arial" w:hAnsi="Arial"/>
                <w:sz w:val="18"/>
                <w:szCs w:val="18"/>
                <w:color w:val="auto"/>
              </w:rPr>
              <w:t>2014</w:t>
            </w:r>
          </w:p>
        </w:tc>
        <w:tc>
          <w:tcPr>
            <w:tcW w:w="4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2015</w:t>
            </w:r>
          </w:p>
        </w:tc>
        <w:tc>
          <w:tcPr>
            <w:tcW w:w="4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420"/>
              <w:spacing w:after="0"/>
              <w:rPr>
                <w:sz w:val="20"/>
                <w:szCs w:val="20"/>
                <w:color w:val="auto"/>
              </w:rPr>
            </w:pPr>
            <w:r>
              <w:rPr>
                <w:rFonts w:ascii="Arial" w:cs="Arial" w:eastAsia="Arial" w:hAnsi="Arial"/>
                <w:sz w:val="18"/>
                <w:szCs w:val="18"/>
                <w:color w:val="auto"/>
              </w:rPr>
              <w:t>2016</w:t>
            </w:r>
          </w:p>
        </w:tc>
        <w:tc>
          <w:tcPr>
            <w:tcW w:w="4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2017</w:t>
            </w:r>
          </w:p>
        </w:tc>
        <w:tc>
          <w:tcPr>
            <w:tcW w:w="4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Pr>
          <w:p>
            <w:pPr>
              <w:ind w:left="420"/>
              <w:spacing w:after="0"/>
              <w:rPr>
                <w:sz w:val="20"/>
                <w:szCs w:val="20"/>
                <w:color w:val="auto"/>
              </w:rPr>
            </w:pPr>
            <w:r>
              <w:rPr>
                <w:rFonts w:ascii="Arial" w:cs="Arial" w:eastAsia="Arial" w:hAnsi="Arial"/>
                <w:sz w:val="18"/>
                <w:szCs w:val="18"/>
                <w:color w:val="auto"/>
              </w:rPr>
              <w:t>Thereafter</w:t>
            </w:r>
          </w:p>
        </w:tc>
        <w:tc>
          <w:tcPr>
            <w:tcW w:w="4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6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320" w:type="dxa"/>
            <w:vAlign w:val="bottom"/>
            <w:vMerge w:val="restart"/>
          </w:tcPr>
          <w:p>
            <w:pPr>
              <w:jc w:val="right"/>
              <w:ind w:right="2699"/>
              <w:spacing w:after="0"/>
              <w:rPr>
                <w:sz w:val="20"/>
                <w:szCs w:val="20"/>
                <w:color w:val="auto"/>
              </w:rPr>
            </w:pPr>
            <w:r>
              <w:rPr>
                <w:rFonts w:ascii="Arial" w:cs="Arial" w:eastAsia="Arial" w:hAnsi="Arial"/>
                <w:sz w:val="18"/>
                <w:szCs w:val="18"/>
                <w:color w:val="auto"/>
              </w:rPr>
              <w:t>159</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was $8.4, $7.7, and $7.1 for the years ended December 31, 2012, 2011 and 2010, respectively.</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Unclaimed Property Inquiries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During late 2012, the Company’s life insurance subsidiaries received notice of an audit on behalf of multiple states’ treasury and controllers’ offices for compliance with laws and regulations concerning the identification, reporting and escheatment of abandoned or unclaimed money or property. Also in late 2012, the Company received notice regarding a market conduct examination focused on its three insurance subsidiaries’ life insurance and annuity claims settlement practices, including practices related to handing of unclaimed property. The audit and examination have not yet started. The Company believes it is reasonably possible that the audit and examination activity could result in payments of interest, fines or penalties. The Company is not currently able to estimate the loss or range of loss of these matters.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Because of the nature of the business, the Company is subject to legal actions filed or threatened in the ordinary course of its business operations. The Company does not expect that any such litigation, pending or threatened, as of December 31, 2012, will have a material adverse effect on its consolidated financial condition, future operating results or liquidity.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Commitments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has a service agreement with a third party service provider to outsource the majority of its information technology infrastructure. The initial term of the service agreement expires in July 2014, subject to early termination in certain cases, with two one-year extensions at the Company’s election. Under the terms of the service agreement, the Company agreed to pay an annual fixed service fee ranging from $10.6 to $11.4 for five years. The Company incurred service fee expenses of $13.6, $12.3 and $12.0 for the years ended December 31, 2012, 2011 and 2010, respectively, which included the fixed fee as well as a variable fee based on usage.</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of December 31, 2012 and 2011, unfunded mortgage loan commitments were $64.4 and $105.1, respectively. The Company had no other material commitments or contingencies as of December 31, 2012 and 2011.</w:t>
      </w:r>
    </w:p>
    <w:p>
      <w:pPr>
        <w:spacing w:after="0" w:line="207" w:lineRule="exact"/>
        <w:rPr>
          <w:sz w:val="20"/>
          <w:szCs w:val="20"/>
          <w:color w:val="auto"/>
        </w:rPr>
      </w:pPr>
    </w:p>
    <w:p>
      <w:pPr>
        <w:ind w:left="240" w:right="9260" w:hanging="232"/>
        <w:spacing w:after="0" w:line="391" w:lineRule="auto"/>
        <w:tabs>
          <w:tab w:leader="none" w:pos="275"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Employee Benefit Plans </w:t>
      </w:r>
      <w:r>
        <w:rPr>
          <w:rFonts w:ascii="Arial" w:cs="Arial" w:eastAsia="Arial" w:hAnsi="Arial"/>
          <w:sz w:val="16"/>
          <w:szCs w:val="16"/>
          <w:i w:val="1"/>
          <w:iCs w:val="1"/>
          <w:color w:val="auto"/>
        </w:rPr>
        <w:t>Defined Contribution Plan</w:t>
      </w:r>
    </w:p>
    <w:p>
      <w:pPr>
        <w:spacing w:after="0" w:line="1"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 Company sponsors a defined contribution 401(k) plan for all eligible employees that includes matching a participant’s contributions up to 6% of eligible compensation. The expense for the matching contributions was $6.2, $5.4 and $4.8 for the years ended December 31, 2012, 2011 and 2010, respectively.</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Plan</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Under the Equity Plan, the Company has the ability to issue various types of awards, including restricted stock, stock options, stock appreciation rights, restricted stock units, performance shares, performance units and other types of awards at the discretion of the board of directors.</w:t>
      </w:r>
    </w:p>
    <w:p>
      <w:pPr>
        <w:spacing w:after="0" w:line="8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During 2012, 2011 and 2010, the Company granted 0.076, 0.065 and 0.072 performance units, respectively, to various members of management under the Equity Plan. The value of each performance unit is determined at the discretion of the Company’s board of directors based on the success of the Company over a three-year period. These are accounted for as liability awards, as the Company intends or is required to settle such awards in cash. The Company recognized $4.7, $2.5 and $1.5 in expense related to performance units granted under the Equity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380"/>
          </w:cols>
          <w:pgMar w:left="240" w:top="460" w:right="2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Plan for the years ended December 31, 2012, 2011 and 2010, respectively. The Company also granted restricted stock and stock options under the Equity Plan, as discussed in Note 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Dividends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Company’s insurance subsidiaries are restricted by state regulations as to the aggregate amount of dividends they may pay to their parent company in any consecutive 12-month period without regulatory approval. Accordingly, based on statutory limits as of December 31, 2011, the Company was eligible to receive dividends from its directly owned insurance subsidiary, Symetra Life Insurance Company, during 2012 without obtaining regulatory approval as long as the aggregate dividends paid over the twelve months preceding any dividend payment date in 2012 did not exceed $182.3. The total amount of dividends received by the Company from Symetra Life Insurance Company during 2012 was $80.0. Based on state regulations as of December 31, 2012, the Company is eligible to receive dividends from Symetra Life Insurance Company during 2013 without obtaining regulatory approval as long as the aggregate dividends paid over the 12 months preceding any dividend payment date in 2013 do not exceed $282.2. More information about the capital requirements of the Company’s insurance subsidiaries can be found in Note 17.</w:t>
      </w:r>
    </w:p>
    <w:p>
      <w:pPr>
        <w:spacing w:after="0" w:line="118"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There are no regulatory restrictions on the ability of Symetra Financial Corporation to pay dividends. The declaration and payment of future dividends to common stock and warrant holders will be at the discretion of the Company’s board of directors and will be dependent on, and may be limited by many factors including the receipt of dividends from the Company’s insurance subsidiaries, the capital requirements of the Company’s insurance subsidiaries, the Company’s financial conditions and operating results, compliance with covenants of the Company’s revolving credit facility, the Company’s credit and financial strength ratings, and such other factors as the board of directors deems relevant. More information about the covenants of the Company’s revolving credit facility can be found in Note 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Statutory-Basis Information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insurance subsidiaries are required to prepare statutory financial statements in accordance with statutory accounting practices prescribed or permitted by the insurance department of the state of domicile. Statutory accounting practices primarily differ from GAAP by charging policy acquisition costs to expense as incurred and establishing future policy benefit liabilities using different actuarial assumptions, as well as accounting for investments, certain assets and deferred taxes on a different basis. Permitted statutory accounting practices encompass all accounting practices not so prescribed, which have been specifically allowed by state insurance authorities. The Company’s insurance subsidiaries have no material permitted accounting practices.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statutory net income (loss) and statutory capital and surplus for the Company’s insurance subsidiaries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10"/>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Statutory net income (loss):</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Symetra Life Insurance Company</w:t>
            </w: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252.3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155.8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First Symetra National Life Insurance Company of New York</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Symetra National Life Insurance Company</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Statutory capital and surplus: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Symetra Life Insurance Company (1)</w:t>
            </w: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6"/>
              </w:rPr>
              <w:t>1,912.6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1,822.8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First Symetra National Life Insurance Company of New York</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Symetra National Life Insurance Company</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180" w:hanging="452"/>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Symetra Life Insurance Company’s surplus includes the surplus of its two wholly owned subsidiaries, First Symetra National Life Insurance Company of New York and Symetra National Life Insurance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of the insurance subsidiaries’ state of domicile imposes minimum risk–based capital (RBC) requirements that were developed by the NAIC. The formulas for determining the amount of RBC specify various weighting factors that are applied to the financial balances or various levels of activity based on the perceived degree of risk. Regulatory compliance is determined by a ratio of total adjusted capital, as defined by the NAIC, to authorized control level RBC, as defined by the NAIC. Companies below specific trigger points or ratios are classified within certain levels, each of which requires specified correction action. As of December 31, 2012 and 2011 each of the Company’s insurance subsidiaries exceeded the minimum RBC requirements of 200%, and maintained risk-based capital ratios in excess of 485%. The Company’s insurance subsidiaries’ minimum statutory capital and surplus necessary to satisfy regulatory requirements in the aggregate was $461.3 at December 31, 2012, of which 97.0% was attributable to Symetra Life Insurance Company.</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Company’s insurance subsidiaries are subject to certain insurance department regulatory restrictions as to the payment of dividends to their parent company. More information on the restrictions on the payment of dividends can be found in Note 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Parties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has an Investment Management Agreement, amended and restated on June 1, 2011, with White Mountains Advisors, LLC (WMA), a subsidiary of White Mountains Insurance Group, Ltd. White Mountains Insurance Group, Ltd. is a related party who beneficially owns 26.888 shares of the Company’s common stock, including warrants exercisable for 9.488 shares. This agreement, as amended, provides for investment advisory services related to the Company’s invested assets and portfolio management services. Expenses amounted to $16.0, $15.5, and $14.1 for the years ended December 31, 2012, 2011 and 2010, respectively. As of December 31, 2012 and 2011, amounts due to WMA were $3.9 and $4.0,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Information</w:t>
      </w:r>
    </w:p>
    <w:p>
      <w:pPr>
        <w:spacing w:after="0" w:line="9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The Company offers a broad range of products and services that include retirement, group health and employee benefits products and life insurance. These operations are managed separately as three divisions, consisting of four business segments based on product groupings, and a fifth reportable segment consisting primarily of unallocated corporate items and surplus investment income. The five segments are: Benefits, Deferred Annuities, Income Annuities, Individual Life and Other.</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primary segment profitability measure that management uses is segment pre-tax adjusted operating income (loss), which is calculated by adjusting income (loss) from operations before federal income taxes to exclude net realized investment gains (losses), and for the Deferred Annuities’ segment, to include the net investment gains (losses) on the fixed indexed annuity (FIA) product.</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When evaluating segment pre-tax adjusted operating income (loss) in the Deferred Annuities’ segment, management includes the net investment gains (losses) from the FIA hedging program and changes in the fair value of the related FIA embedded derivative. The FIA hedging program consists of buying S&amp;P 500 Index call options to hedge the equity return component of FIA products. These options do not qualify for hedge accounting treatment, and net gains (losses) from the options are recorded in net realized investment gains (losses). Because the interest earned on the Company’s FIA product is included as a component of interest credited, it is more meaningful to evaluate results inclusive of the results of this hedging program.</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Benefits Division</w:t>
      </w:r>
    </w:p>
    <w:p>
      <w:pPr>
        <w:spacing w:after="0" w:line="96" w:lineRule="exact"/>
        <w:rPr>
          <w:sz w:val="20"/>
          <w:szCs w:val="20"/>
          <w:color w:val="auto"/>
        </w:rPr>
      </w:pPr>
    </w:p>
    <w:p>
      <w:pPr>
        <w:ind w:left="900" w:right="500" w:hanging="325"/>
        <w:spacing w:after="0" w:line="33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 xml:space="preserve">Benefits. </w:t>
      </w:r>
      <w:r>
        <w:rPr>
          <w:rFonts w:ascii="Arial" w:cs="Arial" w:eastAsia="Arial" w:hAnsi="Arial"/>
          <w:sz w:val="16"/>
          <w:szCs w:val="16"/>
          <w:color w:val="auto"/>
        </w:rPr>
        <w:t>Benefits offers the following products and related services: medical stop-loss insurance, limited benefit medical insurance, group life</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accidental death and dismemberment insurance and disability income insurance mainly to employer groups.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Retirement Division</w:t>
      </w:r>
    </w:p>
    <w:p>
      <w:pPr>
        <w:spacing w:after="0" w:line="96" w:lineRule="exact"/>
        <w:rPr>
          <w:sz w:val="20"/>
          <w:szCs w:val="20"/>
          <w:color w:val="auto"/>
        </w:rPr>
      </w:pPr>
    </w:p>
    <w:p>
      <w:pPr>
        <w:ind w:left="900" w:right="180" w:hanging="325"/>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Deferred Annuities. </w:t>
      </w:r>
      <w:r>
        <w:rPr>
          <w:rFonts w:ascii="Arial" w:cs="Arial" w:eastAsia="Arial" w:hAnsi="Arial"/>
          <w:sz w:val="18"/>
          <w:szCs w:val="18"/>
          <w:color w:val="auto"/>
        </w:rPr>
        <w:t>Deferred Annuities offers fixed and variable deferred annuities to consumers who want to accumulate tax-deferred assets for</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w:t>
      </w:r>
    </w:p>
    <w:p>
      <w:pPr>
        <w:spacing w:after="0" w:line="50" w:lineRule="exact"/>
        <w:rPr>
          <w:rFonts w:ascii="Arial" w:cs="Arial" w:eastAsia="Arial" w:hAnsi="Arial"/>
          <w:sz w:val="18"/>
          <w:szCs w:val="18"/>
          <w:color w:val="auto"/>
        </w:rPr>
      </w:pPr>
    </w:p>
    <w:p>
      <w:pPr>
        <w:ind w:left="900" w:right="60" w:hanging="325"/>
        <w:spacing w:after="0" w:line="298"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 xml:space="preserve">Income Annuities. </w:t>
      </w:r>
      <w:r>
        <w:rPr>
          <w:rFonts w:ascii="Arial" w:cs="Arial" w:eastAsia="Arial" w:hAnsi="Arial"/>
          <w:sz w:val="16"/>
          <w:szCs w:val="16"/>
          <w:color w:val="auto"/>
        </w:rPr>
        <w:t>Income Annuities offers single premium immediate annuities, or SPIAs, to customers seeking a reliable source of retirement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or to protect against outliving their assets during retirement. In addition, Income Annuities services our block of structured settlement policies sold to fund third party personal injury settlements. The Company discontinued structured settlement sales in December 2012. In addition, Income Annuities offers funding services options to existing structured settlement clients.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Individual Life Division</w:t>
      </w:r>
    </w:p>
    <w:p>
      <w:pPr>
        <w:spacing w:after="0" w:line="96"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 xml:space="preserve">Individual Life. </w:t>
      </w:r>
      <w:r>
        <w:rPr>
          <w:rFonts w:ascii="Arial" w:cs="Arial" w:eastAsia="Arial" w:hAnsi="Arial"/>
          <w:sz w:val="16"/>
          <w:szCs w:val="16"/>
          <w:color w:val="auto"/>
        </w:rPr>
        <w:t>Individual Life offers a wide array of insurance products such as universal life insurance, including BOLI, and term life insurance.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w:t>
      </w:r>
    </w:p>
    <w:p>
      <w:pPr>
        <w:spacing w:after="0" w:line="96" w:lineRule="exact"/>
        <w:rPr>
          <w:sz w:val="20"/>
          <w:szCs w:val="20"/>
          <w:color w:val="auto"/>
        </w:rPr>
      </w:pPr>
    </w:p>
    <w:p>
      <w:pPr>
        <w:ind w:left="900" w:hanging="325"/>
        <w:spacing w:after="0" w:line="259"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This segment consists of unallocated corporate income, composed primarily of investment income on unallocated surplus, unallocated</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expenses, interest expense on debt, earnings related to limited partnership interests, the results of small, non-insurance businesses that are managed outside of our divisions, and inter-segment elimination entries.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accounting policies of the segments are the same as those described in Note 2, except for the method of capital allocation. The Company has an internally developed risk-based capital model, the purpose of which is to measure the risk in the business and to provide a basis upon which capital is deployed. This model accounts for the unique and specific nature of the risks inherent in the Company’s segments and a portion of net investment income on surplus investments are allocated to the segments based on the level of allocated capital.</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60"/>
          </w:cols>
          <w:pgMar w:left="240" w:top="460" w:right="3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tables present selected financial information by segment and reconcile segment pre-tax adjusted operating income (loss) to amounts reported in the consolidated statements of income.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w w:val="91"/>
              </w:rPr>
              <w:t>For the Year Ended December 31, 2012</w:t>
            </w: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w w:val="93"/>
              </w:rPr>
              <w:t>Deferred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1"/>
                <w:szCs w:val="11"/>
                <w:color w:val="auto"/>
              </w:rPr>
            </w:pPr>
          </w:p>
        </w:tc>
        <w:tc>
          <w:tcPr>
            <w:tcW w:w="920" w:type="dxa"/>
            <w:vAlign w:val="bottom"/>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7"/>
              </w:rPr>
              <w:t>Individual</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Benefits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4"/>
              <w:spacing w:after="0"/>
              <w:rPr>
                <w:sz w:val="20"/>
                <w:szCs w:val="20"/>
                <w:color w:val="auto"/>
              </w:rPr>
            </w:pPr>
            <w:r>
              <w:rPr>
                <w:rFonts w:ascii="Arial" w:cs="Arial" w:eastAsia="Arial" w:hAnsi="Arial"/>
                <w:sz w:val="14"/>
                <w:szCs w:val="14"/>
                <w:b w:val="1"/>
                <w:bCs w:val="1"/>
                <w:color w:val="auto"/>
                <w:w w:val="87"/>
              </w:rPr>
              <w:t>Annuities</w:t>
            </w:r>
          </w:p>
        </w:tc>
        <w:tc>
          <w:tcPr>
            <w:tcW w:w="28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Annuities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38"/>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Premiums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568.8</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ind w:left="34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36.2</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358"/>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investment income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409.9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Policy fees, contract charges, and other</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21.7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189.9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gains (losses) — FIA</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Total operating revenues</w:t>
            </w: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601.6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568.0</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416.7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33.7</w:t>
            </w: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2,070.2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5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Benefits and expenses: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Policyholder benefits and claims</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370.3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58"/>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439.0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credited</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(2.1)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Other underwriting and operating expenses</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160.8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29.1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Amortization of DAC</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benefits and expenses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531.1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371.7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Segment pre-tax adjusted operating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102.7</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w:t>
            </w:r>
          </w:p>
        </w:tc>
        <w:tc>
          <w:tcPr>
            <w:tcW w:w="340" w:type="dxa"/>
            <w:vAlign w:val="bottom"/>
          </w:tcPr>
          <w:p>
            <w:pPr>
              <w:jc w:val="right"/>
              <w:ind w:right="198"/>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601.6</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568.0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450.2</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Add: Net realized investment gains (losses), excluding FIA</w:t>
            </w:r>
          </w:p>
        </w:tc>
        <w:tc>
          <w:tcPr>
            <w:tcW w:w="1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23.3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601.5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572.3</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57.0</w:t>
            </w: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Total benefits and expenses</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531.1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465.3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371.7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70.4</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(2.8)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As of December 31, 2012: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11,594.1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6"/>
              </w:rPr>
              <w:t>7,476.2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6,107.3</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2,362.8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27,556.4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Deferred policy acquisition costs</w:t>
            </w: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58"/>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Separate account assets</w:t>
            </w: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723.3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58"/>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807.7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181.8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12,562.4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6"/>
              </w:rPr>
              <w:t>7,672.9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6,598.5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2,445.3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29,460.9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Future policy benefits, losses, claims and loss expense (1)</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210.1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6"/>
              </w:rPr>
              <w:t>11,050.3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6"/>
              </w:rPr>
              <w:t>6,557.5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3"/>
              </w:rPr>
              <w:t>5,828.2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98"/>
              <w:spacing w:after="0"/>
              <w:rPr>
                <w:sz w:val="20"/>
                <w:szCs w:val="20"/>
                <w:color w:val="auto"/>
              </w:rPr>
            </w:pPr>
            <w:r>
              <w:rPr>
                <w:rFonts w:ascii="Arial" w:cs="Arial" w:eastAsia="Arial" w:hAnsi="Arial"/>
                <w:sz w:val="18"/>
                <w:szCs w:val="18"/>
                <w:b w:val="1"/>
                <w:bCs w:val="1"/>
                <w:color w:val="auto"/>
              </w:rPr>
              <w:t>(24.8)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4"/>
              </w:rPr>
              <w:t>23,621.3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policyholders’ funds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Notes payable</w:t>
            </w:r>
          </w:p>
        </w:tc>
        <w:tc>
          <w:tcPr>
            <w:tcW w:w="120" w:type="dxa"/>
            <w:vAlign w:val="bottom"/>
          </w:tcPr>
          <w:p>
            <w:pPr>
              <w:spacing w:after="0"/>
              <w:rPr>
                <w:sz w:val="19"/>
                <w:szCs w:val="19"/>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449.4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449.4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5580" w:right="3700" w:hanging="5572"/>
        <w:spacing w:after="0" w:line="440" w:lineRule="auto"/>
        <w:tabs>
          <w:tab w:leader="none" w:pos="45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This includes funds held under deposit contracts, future policy benefits, and policy and contract claims. 164</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4"/>
                <w:szCs w:val="14"/>
                <w:b w:val="1"/>
                <w:bCs w:val="1"/>
                <w:color w:val="auto"/>
                <w:w w:val="87"/>
              </w:rPr>
              <w:t>For the Year Ended December 31, 2011</w:t>
            </w: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93"/>
              </w:rPr>
              <w:t>Deferred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89"/>
              </w:rPr>
              <w:t>Income</w:t>
            </w:r>
          </w:p>
        </w:tc>
        <w:tc>
          <w:tcPr>
            <w:tcW w:w="8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Individual</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6"/>
              </w:rPr>
              <w:t>Benefits</w:t>
            </w: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Annuities</w:t>
            </w:r>
          </w:p>
        </w:tc>
        <w:tc>
          <w:tcPr>
            <w:tcW w:w="260" w:type="dxa"/>
            <w:vAlign w:val="bottom"/>
          </w:tcPr>
          <w:p>
            <w:pPr>
              <w:spacing w:after="0"/>
              <w:rPr>
                <w:sz w:val="14"/>
                <w:szCs w:val="14"/>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3"/>
              </w:rPr>
              <w:t>Annuities</w:t>
            </w:r>
          </w:p>
        </w:tc>
        <w:tc>
          <w:tcPr>
            <w:tcW w:w="12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5"/>
          </w:tcPr>
          <w:p>
            <w:pPr>
              <w:ind w:left="420"/>
              <w:spacing w:after="0" w:line="142" w:lineRule="exact"/>
              <w:rPr>
                <w:sz w:val="20"/>
                <w:szCs w:val="20"/>
                <w:color w:val="auto"/>
              </w:rPr>
            </w:pPr>
            <w:r>
              <w:rPr>
                <w:rFonts w:ascii="Arial" w:cs="Arial" w:eastAsia="Arial" w:hAnsi="Arial"/>
                <w:sz w:val="14"/>
                <w:szCs w:val="14"/>
                <w:b w:val="1"/>
                <w:bCs w:val="1"/>
                <w:color w:val="auto"/>
              </w:rPr>
              <w:t>(As adjusted)</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Premiums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501.1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investment income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Policy fees, contract charges, and other</w:t>
            </w: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gains (losses) — FIA</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Total operating revenues</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533.3</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414.9</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452.0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1,990.7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Benefits and expenses: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Policyholder benefits and claims</w:t>
            </w: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316.1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credited</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Other underwriting and operating expenses</w:t>
            </w: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138.1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Amortization of DAC</w:t>
            </w: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benefits and expenses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454.2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379.8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1,726.1</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Segment pre-tax adjusted operating income (loss)</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79.1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95.8</w:t>
            </w:r>
          </w:p>
        </w:tc>
        <w:tc>
          <w:tcPr>
            <w:tcW w:w="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35.1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65.3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533.3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Add: Net realized investment gains (losses), excluding FIA</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533.2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Total benefits and expenses</w:t>
            </w: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454.2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379.8</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386.7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1,726.1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As of December 31, 2011: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10,681.4</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7,271.9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5,893.5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2,283.6</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26,171.7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Deferred policy acquisition costs</w:t>
            </w:r>
          </w:p>
        </w:tc>
        <w:tc>
          <w:tcPr>
            <w:tcW w:w="12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Separate account assets</w:t>
            </w:r>
          </w:p>
        </w:tc>
        <w:tc>
          <w:tcPr>
            <w:tcW w:w="12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201.0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11,787.9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7,403.5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6,383.5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2,407.4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28,183.3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Future policy benefits, losses, claims and loss expense (1)</w:t>
            </w: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212.7</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6"/>
              </w:rPr>
              <w:t>10,599.8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6,594.8</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5,631.2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23,011.6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policyholders’ funds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Notes payable</w:t>
            </w:r>
          </w:p>
        </w:tc>
        <w:tc>
          <w:tcPr>
            <w:tcW w:w="120" w:type="dxa"/>
            <w:vAlign w:val="bottom"/>
          </w:tcPr>
          <w:p>
            <w:pPr>
              <w:spacing w:after="0"/>
              <w:rPr>
                <w:sz w:val="19"/>
                <w:szCs w:val="19"/>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580" w:right="3700" w:hanging="5572"/>
        <w:spacing w:after="0" w:line="440" w:lineRule="auto"/>
        <w:tabs>
          <w:tab w:leader="none" w:pos="451"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This includes funds held under deposit contracts, future policy benefits, and policy and contract claims. 165</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87"/>
              </w:rPr>
              <w:t>For the Year Ended December 31, 2010</w:t>
            </w: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93"/>
              </w:rPr>
              <w:t>Deferred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w w:val="85"/>
              </w:rPr>
              <w:t>Income</w:t>
            </w:r>
          </w:p>
        </w:tc>
        <w:tc>
          <w:tcPr>
            <w:tcW w:w="260" w:type="dxa"/>
            <w:vAlign w:val="bottom"/>
          </w:tcPr>
          <w:p>
            <w:pPr>
              <w:spacing w:after="0"/>
              <w:rPr>
                <w:sz w:val="11"/>
                <w:szCs w:val="11"/>
                <w:color w:val="auto"/>
              </w:rPr>
            </w:pPr>
          </w:p>
        </w:tc>
        <w:tc>
          <w:tcPr>
            <w:tcW w:w="84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Individual</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6"/>
              </w:rPr>
              <w:t>Benefits</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Annuities</w:t>
            </w:r>
          </w:p>
        </w:tc>
        <w:tc>
          <w:tcPr>
            <w:tcW w:w="2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Annuities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5"/>
          </w:tcPr>
          <w:p>
            <w:pPr>
              <w:jc w:val="center"/>
              <w:ind w:right="20"/>
              <w:spacing w:after="0" w:line="142" w:lineRule="exact"/>
              <w:rPr>
                <w:sz w:val="20"/>
                <w:szCs w:val="20"/>
                <w:color w:val="auto"/>
              </w:rPr>
            </w:pPr>
            <w:r>
              <w:rPr>
                <w:rFonts w:ascii="Arial" w:cs="Arial" w:eastAsia="Arial" w:hAnsi="Arial"/>
                <w:sz w:val="14"/>
                <w:szCs w:val="14"/>
                <w:b w:val="1"/>
                <w:bCs w:val="1"/>
                <w:color w:val="auto"/>
                <w:w w:val="87"/>
              </w:rPr>
              <w:t>(As adjusted)</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Premiums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433.2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39.8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investment income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Policy fees, contract charges, and other</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gains (losses) — FIA</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revenues</w:t>
            </w: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0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463.6</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482.5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423.5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429.4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Benefits and expenses: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Policyholder benefits and claims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281.3</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credited</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Other underwriting and operating expenses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111.1</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Amortization of DAC</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benefits and expenses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392.4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Segment pre-tax adjusted operating income (loss)</w:t>
            </w: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71.2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72.3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73.2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(11.4)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463.6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w w:val="99"/>
              </w:rPr>
              <w:t>Add: Net realized investment gains (losses), excluding FIA</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463.4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benefits and expenses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392.4</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390.3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356.2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before income taxes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As of December 31, 2010:</w:t>
            </w: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8,996.7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6,824.6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5,419.6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2,164.6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23,500.2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Deferred policy acquisition costs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Separate account assets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791.1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90.6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222.8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10,225.7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6,931.7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5,944.5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2,275.3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w w:val="99"/>
              </w:rPr>
              <w:t>Future policy benefits, losses, claims and loss expense (1)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170.3</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9,228.2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6,668.8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5,427.7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21,468.3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policyholders’ funds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Notes payable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449.0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580" w:right="3700" w:hanging="5572"/>
        <w:spacing w:after="0" w:line="440" w:lineRule="auto"/>
        <w:tabs>
          <w:tab w:leader="none" w:pos="451"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This includes funds held under deposit contracts, future policy benefits, and policy and contract claims. 166</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Quarterly Results of Operations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unaudited quarterly results of operations for years ended December 31, 2012 and 2011 are summarized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March 31</w:t>
            </w:r>
          </w:p>
        </w:tc>
        <w:tc>
          <w:tcPr>
            <w:tcW w:w="560" w:type="dxa"/>
            <w:vAlign w:val="bottom"/>
          </w:tcPr>
          <w:p>
            <w:pPr>
              <w:spacing w:after="0"/>
              <w:rPr>
                <w:sz w:val="12"/>
                <w:szCs w:val="12"/>
                <w:color w:val="auto"/>
              </w:rPr>
            </w:pPr>
          </w:p>
        </w:tc>
        <w:tc>
          <w:tcPr>
            <w:tcW w:w="7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2"/>
              </w:rPr>
              <w:t>December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2012:</w:t>
            </w:r>
          </w:p>
        </w:tc>
        <w:tc>
          <w:tcPr>
            <w:tcW w:w="1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Total revenues</w:t>
            </w:r>
          </w:p>
        </w:tc>
        <w:tc>
          <w:tcPr>
            <w:tcW w:w="1440" w:type="dxa"/>
            <w:vAlign w:val="bottom"/>
            <w:gridSpan w:val="2"/>
          </w:tcPr>
          <w:p>
            <w:pPr>
              <w:ind w:left="130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543.0</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4"/>
              </w:rPr>
              <w:t>508.4</w:t>
            </w:r>
          </w:p>
        </w:tc>
        <w:tc>
          <w:tcPr>
            <w:tcW w:w="54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529.0</w:t>
            </w:r>
          </w:p>
        </w:tc>
        <w:tc>
          <w:tcPr>
            <w:tcW w:w="28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520.8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benefits and expenses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441.7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451.0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461.5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476.9</w:t>
            </w:r>
          </w:p>
        </w:tc>
        <w:tc>
          <w:tcPr>
            <w:tcW w:w="0" w:type="dxa"/>
            <w:vAlign w:val="bottom"/>
          </w:tcPr>
          <w:p>
            <w:pPr>
              <w:spacing w:after="0"/>
              <w:rPr>
                <w:sz w:val="1"/>
                <w:szCs w:val="1"/>
                <w:color w:val="auto"/>
              </w:rPr>
            </w:pPr>
          </w:p>
        </w:tc>
      </w:tr>
      <w:tr>
        <w:trPr>
          <w:trHeight w:val="223"/>
        </w:trPr>
        <w:tc>
          <w:tcPr>
            <w:tcW w:w="5740" w:type="dxa"/>
            <w:vAlign w:val="bottom"/>
          </w:tcPr>
          <w:p>
            <w:pPr>
              <w:ind w:left="440"/>
              <w:spacing w:after="0"/>
              <w:rPr>
                <w:sz w:val="20"/>
                <w:szCs w:val="20"/>
                <w:color w:val="auto"/>
              </w:rPr>
            </w:pPr>
            <w:r>
              <w:rPr>
                <w:rFonts w:ascii="Arial" w:cs="Arial" w:eastAsia="Arial" w:hAnsi="Arial"/>
                <w:sz w:val="18"/>
                <w:szCs w:val="18"/>
                <w:color w:val="auto"/>
              </w:rPr>
              <w:t>Income from operations before income taxes</w:t>
            </w:r>
          </w:p>
        </w:tc>
        <w:tc>
          <w:tcPr>
            <w:tcW w:w="1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101.3</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43.8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31.0</w:t>
            </w:r>
          </w:p>
        </w:tc>
        <w:tc>
          <w:tcPr>
            <w:tcW w:w="0" w:type="dxa"/>
            <w:vAlign w:val="bottom"/>
          </w:tcPr>
          <w:p>
            <w:pPr>
              <w:spacing w:after="0"/>
              <w:rPr>
                <w:sz w:val="1"/>
                <w:szCs w:val="1"/>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Net income per common share: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Basic (1)</w:t>
            </w:r>
          </w:p>
        </w:tc>
        <w:tc>
          <w:tcPr>
            <w:tcW w:w="1440" w:type="dxa"/>
            <w:vAlign w:val="bottom"/>
            <w:gridSpan w:val="2"/>
            <w:shd w:val="clear" w:color="auto" w:fill="CCEEFF"/>
          </w:tcPr>
          <w:p>
            <w:pPr>
              <w:ind w:left="130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0.32</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0.40</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0.22</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Diluted (1)</w:t>
            </w:r>
          </w:p>
        </w:tc>
        <w:tc>
          <w:tcPr>
            <w:tcW w:w="1440" w:type="dxa"/>
            <w:vAlign w:val="bottom"/>
            <w:gridSpan w:val="2"/>
          </w:tcPr>
          <w:p>
            <w:pPr>
              <w:ind w:left="130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0.55</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0.32</w:t>
            </w:r>
          </w:p>
        </w:tc>
        <w:tc>
          <w:tcPr>
            <w:tcW w:w="54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0.40</w:t>
            </w:r>
          </w:p>
        </w:tc>
        <w:tc>
          <w:tcPr>
            <w:tcW w:w="28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0.22</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Total revenues, as adjusted</w:t>
            </w:r>
          </w:p>
        </w:tc>
        <w:tc>
          <w:tcPr>
            <w:tcW w:w="144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491.2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491.6</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454.9</w:t>
            </w:r>
          </w:p>
        </w:tc>
        <w:tc>
          <w:tcPr>
            <w:tcW w:w="28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benefits and expenses, as adjusted</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416.8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409.3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440"/>
              <w:spacing w:after="0"/>
              <w:rPr>
                <w:sz w:val="20"/>
                <w:szCs w:val="20"/>
                <w:color w:val="auto"/>
              </w:rPr>
            </w:pPr>
            <w:r>
              <w:rPr>
                <w:rFonts w:ascii="Arial" w:cs="Arial" w:eastAsia="Arial" w:hAnsi="Arial"/>
                <w:sz w:val="18"/>
                <w:szCs w:val="18"/>
                <w:color w:val="auto"/>
              </w:rPr>
              <w:t>Income from operations before income taxes, as adjusted</w:t>
            </w:r>
          </w:p>
        </w:tc>
        <w:tc>
          <w:tcPr>
            <w:tcW w:w="1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7"/>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as adjusted</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Net income per common share: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Basic, as adjusted (1)</w:t>
            </w:r>
          </w:p>
        </w:tc>
        <w:tc>
          <w:tcPr>
            <w:tcW w:w="14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0.42</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22"/>
        </w:trPr>
        <w:tc>
          <w:tcPr>
            <w:tcW w:w="5740" w:type="dxa"/>
            <w:vAlign w:val="bottom"/>
          </w:tcPr>
          <w:p>
            <w:pPr>
              <w:ind w:left="880"/>
              <w:spacing w:after="0"/>
              <w:rPr>
                <w:sz w:val="20"/>
                <w:szCs w:val="20"/>
                <w:color w:val="auto"/>
              </w:rPr>
            </w:pPr>
            <w:r>
              <w:rPr>
                <w:rFonts w:ascii="Arial" w:cs="Arial" w:eastAsia="Arial" w:hAnsi="Arial"/>
                <w:sz w:val="18"/>
                <w:szCs w:val="18"/>
                <w:color w:val="auto"/>
              </w:rPr>
              <w:t>Diluted, as adjusted (1)</w:t>
            </w:r>
          </w:p>
        </w:tc>
        <w:tc>
          <w:tcPr>
            <w:tcW w:w="144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0.39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0.42</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19"/>
                <w:szCs w:val="19"/>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580" w:right="2840" w:hanging="5572"/>
        <w:spacing w:after="0" w:line="440" w:lineRule="auto"/>
        <w:tabs>
          <w:tab w:leader="none" w:pos="451" w:val="left"/>
        </w:tabs>
        <w:numPr>
          <w:ilvl w:val="0"/>
          <w:numId w:val="98"/>
        </w:numPr>
        <w:rPr>
          <w:rFonts w:ascii="Arial" w:cs="Arial" w:eastAsia="Arial" w:hAnsi="Arial"/>
          <w:sz w:val="18"/>
          <w:szCs w:val="18"/>
          <w:color w:val="auto"/>
        </w:rPr>
      </w:pPr>
      <w:r>
        <w:rPr>
          <w:rFonts w:ascii="Arial" w:cs="Arial" w:eastAsia="Arial" w:hAnsi="Arial"/>
          <w:sz w:val="18"/>
          <w:szCs w:val="18"/>
          <w:color w:val="auto"/>
        </w:rPr>
        <w:t>Quarterly earnings per share amounts may not add up to the full year amounts due to share weighting and rounding. 167</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millions, except per share data, unless otherwise stated)</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tables present the effects of the Company’s retrospective adoption of a new accounting principle on previously reported quarterly financial information for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As Previously</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Reported</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3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 the Three Months Ended March 31, 2011</w:t>
            </w:r>
          </w:p>
        </w:tc>
        <w:tc>
          <w:tcPr>
            <w:tcW w:w="3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Total revenues</w:t>
            </w:r>
          </w:p>
        </w:tc>
        <w:tc>
          <w:tcPr>
            <w:tcW w:w="3260" w:type="dxa"/>
            <w:vAlign w:val="bottom"/>
            <w:gridSpan w:val="2"/>
          </w:tcPr>
          <w:p>
            <w:pPr>
              <w:ind w:left="316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491.2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benefits and expenses</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416.8</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Income from operations before income taxes</w:t>
            </w:r>
          </w:p>
        </w:tc>
        <w:tc>
          <w:tcPr>
            <w:tcW w:w="3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vMerge w:val="continue"/>
          </w:tcPr>
          <w:p>
            <w:pPr>
              <w:spacing w:after="0"/>
              <w:rPr>
                <w:sz w:val="19"/>
                <w:szCs w:val="19"/>
                <w:color w:val="auto"/>
              </w:rPr>
            </w:pP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76.5</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8"/>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3260" w:type="dxa"/>
            <w:vAlign w:val="bottom"/>
            <w:gridSpan w:val="2"/>
            <w:shd w:val="clear" w:color="auto" w:fill="CCEEFF"/>
          </w:tcPr>
          <w:p>
            <w:pPr>
              <w:ind w:left="316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(0.01)</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Diluted</w:t>
            </w:r>
          </w:p>
        </w:tc>
        <w:tc>
          <w:tcPr>
            <w:tcW w:w="3260" w:type="dxa"/>
            <w:vAlign w:val="bottom"/>
            <w:gridSpan w:val="2"/>
          </w:tcPr>
          <w:p>
            <w:pPr>
              <w:ind w:left="316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(0.01)</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June 30, 2011</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Total revenues</w:t>
            </w:r>
          </w:p>
        </w:tc>
        <w:tc>
          <w:tcPr>
            <w:tcW w:w="3260" w:type="dxa"/>
            <w:vAlign w:val="bottom"/>
            <w:gridSpan w:val="2"/>
          </w:tcPr>
          <w:p>
            <w:pPr>
              <w:ind w:left="316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491.6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benefits and expenses</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Income from operations before income taxes</w:t>
            </w:r>
          </w:p>
        </w:tc>
        <w:tc>
          <w:tcPr>
            <w:tcW w:w="3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vMerge w:val="continue"/>
          </w:tcPr>
          <w:p>
            <w:pPr>
              <w:spacing w:after="0"/>
              <w:rPr>
                <w:sz w:val="19"/>
                <w:szCs w:val="19"/>
                <w:color w:val="auto"/>
              </w:rPr>
            </w:pP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84.3</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8"/>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3260" w:type="dxa"/>
            <w:vAlign w:val="bottom"/>
            <w:gridSpan w:val="2"/>
            <w:shd w:val="clear" w:color="auto" w:fill="CCEEFF"/>
          </w:tcPr>
          <w:p>
            <w:pPr>
              <w:ind w:left="316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(0.01)</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Diluted</w:t>
            </w:r>
          </w:p>
        </w:tc>
        <w:tc>
          <w:tcPr>
            <w:tcW w:w="3260" w:type="dxa"/>
            <w:vAlign w:val="bottom"/>
            <w:gridSpan w:val="2"/>
          </w:tcPr>
          <w:p>
            <w:pPr>
              <w:ind w:left="316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0.43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(0.01)</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September 30, 2011</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Total revenues</w:t>
            </w:r>
          </w:p>
        </w:tc>
        <w:tc>
          <w:tcPr>
            <w:tcW w:w="3260" w:type="dxa"/>
            <w:vAlign w:val="bottom"/>
            <w:gridSpan w:val="2"/>
          </w:tcPr>
          <w:p>
            <w:pPr>
              <w:ind w:left="316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454.7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8"/>
                <w:szCs w:val="18"/>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benefits and expenses</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Income from operations before income taxes</w:t>
            </w:r>
          </w:p>
        </w:tc>
        <w:tc>
          <w:tcPr>
            <w:tcW w:w="3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vMerge w:val="continue"/>
          </w:tcPr>
          <w:p>
            <w:pPr>
              <w:spacing w:after="0"/>
              <w:rPr>
                <w:sz w:val="19"/>
                <w:szCs w:val="19"/>
                <w:color w:val="auto"/>
              </w:rPr>
            </w:pP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8"/>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3260" w:type="dxa"/>
            <w:vAlign w:val="bottom"/>
            <w:gridSpan w:val="2"/>
            <w:shd w:val="clear" w:color="auto" w:fill="CCEEFF"/>
          </w:tcPr>
          <w:p>
            <w:pPr>
              <w:ind w:left="316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Diluted</w:t>
            </w:r>
          </w:p>
        </w:tc>
        <w:tc>
          <w:tcPr>
            <w:tcW w:w="3260" w:type="dxa"/>
            <w:vAlign w:val="bottom"/>
            <w:gridSpan w:val="2"/>
          </w:tcPr>
          <w:p>
            <w:pPr>
              <w:ind w:left="316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December 31, 2011</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Total revenues</w:t>
            </w:r>
          </w:p>
        </w:tc>
        <w:tc>
          <w:tcPr>
            <w:tcW w:w="3260" w:type="dxa"/>
            <w:vAlign w:val="bottom"/>
            <w:gridSpan w:val="2"/>
          </w:tcPr>
          <w:p>
            <w:pPr>
              <w:ind w:left="316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561.6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benefits and expenses</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Income from operations before income taxes</w:t>
            </w:r>
          </w:p>
        </w:tc>
        <w:tc>
          <w:tcPr>
            <w:tcW w:w="3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vMerge w:val="continue"/>
          </w:tcPr>
          <w:p>
            <w:pPr>
              <w:spacing w:after="0"/>
              <w:rPr>
                <w:sz w:val="19"/>
                <w:szCs w:val="19"/>
                <w:color w:val="auto"/>
              </w:rPr>
            </w:pP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106.6</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8"/>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3260" w:type="dxa"/>
            <w:vAlign w:val="bottom"/>
            <w:gridSpan w:val="2"/>
            <w:shd w:val="clear" w:color="auto" w:fill="CCEEFF"/>
          </w:tcPr>
          <w:p>
            <w:pPr>
              <w:ind w:left="316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0.54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22"/>
        </w:trPr>
        <w:tc>
          <w:tcPr>
            <w:tcW w:w="4640" w:type="dxa"/>
            <w:vAlign w:val="bottom"/>
          </w:tcPr>
          <w:p>
            <w:pPr>
              <w:ind w:left="440"/>
              <w:spacing w:after="0"/>
              <w:rPr>
                <w:sz w:val="20"/>
                <w:szCs w:val="20"/>
                <w:color w:val="auto"/>
              </w:rPr>
            </w:pPr>
            <w:r>
              <w:rPr>
                <w:rFonts w:ascii="Arial" w:cs="Arial" w:eastAsia="Arial" w:hAnsi="Arial"/>
                <w:sz w:val="18"/>
                <w:szCs w:val="18"/>
                <w:color w:val="auto"/>
              </w:rPr>
              <w:t>Diluted</w:t>
            </w:r>
          </w:p>
        </w:tc>
        <w:tc>
          <w:tcPr>
            <w:tcW w:w="3260" w:type="dxa"/>
            <w:vAlign w:val="bottom"/>
            <w:gridSpan w:val="2"/>
          </w:tcPr>
          <w:p>
            <w:pPr>
              <w:ind w:left="316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0.54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356"/>
        </w:trPr>
        <w:tc>
          <w:tcPr>
            <w:tcW w:w="4640" w:type="dxa"/>
            <w:vAlign w:val="bottom"/>
          </w:tcPr>
          <w:p>
            <w:pPr>
              <w:spacing w:after="0"/>
              <w:rPr>
                <w:sz w:val="24"/>
                <w:szCs w:val="24"/>
                <w:color w:val="auto"/>
              </w:rPr>
            </w:pPr>
          </w:p>
        </w:tc>
        <w:tc>
          <w:tcPr>
            <w:tcW w:w="3160" w:type="dxa"/>
            <w:vAlign w:val="bottom"/>
          </w:tcPr>
          <w:p>
            <w:pPr>
              <w:jc w:val="right"/>
              <w:ind w:right="1872"/>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carried out an evaluation required by the 1934 Act, under the supervision and with the participation of our principal executive officer and principal financial and accounting officer, of the effectiveness of the design and operation of our disclosure controls and procedures, as defined in Rule 13a— 15(e) of the 1934 Act, as of December 31, 2012. Based on this evaluation our principal executive officer and principal financial and accounting officer concluded that, as of December 31, 2012, our disclosure controls and procedures were effective to provide reasonable assurance that information required to be disclosed by us in the reports that we file or submit under the 1934 Act is recorded, processed, summarized and reported within the time periods specified in the SEC’s rules and forms and to provide reasonable assurance that such information is accumulated and communicated to our management, including our principal executive officer and principal financial and accounting officer, as appropriate, to allow timely decisions regarding required disclosures.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Management of Symetra Financial Corporation is responsible for establishing and maintaining adequate internal control over financial reporting, as defined in Rule 13a — 15(f) of the 1934 Act. Management has assessed the effectiveness of our internal control over financial reporting as of December 31, 2012 based on criteria established in Internal Control — Integrated Framework issued by the Committee of Sponsoring Organizations of the Treadway Commission. As a result of this assessment, management concluded that, as of December 31, 2012, our internal control over financial reporting was effective in providing reasonable assurance regarding the reliability of financial reporting and the preparation of financial statements for external purposes in accordance with U.S. generally accepted accounting principles. Ernst &amp; Young has independently assessed the effectiveness of our internal control over financial reporting and its report is included below.</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fourth quarter ended December 31, 2012 that materially affected, or are reasonably likely to materially affect, our internal control over financial reporting.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Limitations on Controls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controls over financial reporting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Symetra Financial Corporation</w:t>
      </w:r>
    </w:p>
    <w:p>
      <w:pPr>
        <w:spacing w:after="0" w:line="16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have audited Symetra Financial Corporation’s internal control over financial reporting as of December 31, 2012, based on criteria established in Internal Control—Integrated Framework issued by the Committee of Sponsoring Organizations of the Treadway Commission (the COSO criteria). Symetra Financial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our opinion, Symetra Financial Corporation maintained, in all material respects, effective internal control over financial reporting as of December 31, 2012, based on the COSO criteria.</w:t>
      </w:r>
    </w:p>
    <w:p>
      <w:pPr>
        <w:spacing w:after="0" w:line="13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Symetra Financial Corporation as of December 31, 2012 and 2011, and the related consolidated statements of income, comprehensive income, changes in stockholders’ equity, and cash flows for each of the three years in the period ended December 31, 2012, and our report dated February 26, 2013 expressed an unqualified opinion thereon.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0219"/>
          </w:cols>
          <w:pgMar w:left="240" w:top="460" w:right="1440"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Certain of the information called for by Item 10 will be set forth in the definitive proxy statement (the “Proxy Statement”) to be filed pursuant to Regulation 14A of the Securities Exchange Act of 1934 in connection with the Company’s 2013 Annual Meeting of Stockholders, under the captions “Proposal 1 — Election of Directors,” “Corporate Governance” and “Section 16(a) Beneficial Ownership Reporting Compliance,” and is incorporated herein by reference.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and Former Executive Officers of Symetra Financial Corporation</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Set forth below is a list of the directors, executive officers and a former executive officer of Symetra as of February 20, 2013. The positions listed are of Symetra unless otherwise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80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5"/>
              </w:rPr>
              <w:t>Age</w:t>
            </w:r>
          </w:p>
        </w:tc>
        <w:tc>
          <w:tcPr>
            <w:tcW w:w="3240" w:type="dxa"/>
            <w:vAlign w:val="bottom"/>
          </w:tcPr>
          <w:p>
            <w:pPr>
              <w:spacing w:after="0"/>
              <w:rPr>
                <w:sz w:val="15"/>
                <w:szCs w:val="15"/>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9"/>
              </w:rPr>
              <w:t>Positions</w:t>
            </w:r>
          </w:p>
        </w:tc>
        <w:tc>
          <w:tcPr>
            <w:tcW w:w="2380" w:type="dxa"/>
            <w:vAlign w:val="bottom"/>
          </w:tcPr>
          <w:p>
            <w:pPr>
              <w:spacing w:after="0"/>
              <w:rPr>
                <w:sz w:val="15"/>
                <w:szCs w:val="15"/>
                <w:color w:val="auto"/>
              </w:rPr>
            </w:pPr>
          </w:p>
        </w:tc>
      </w:tr>
      <w:tr>
        <w:trPr>
          <w:trHeight w:val="195"/>
        </w:trPr>
        <w:tc>
          <w:tcPr>
            <w:tcW w:w="4180" w:type="dxa"/>
            <w:vAlign w:val="bottom"/>
            <w:gridSpan w:val="2"/>
          </w:tcPr>
          <w:p>
            <w:pPr>
              <w:spacing w:after="0" w:line="195" w:lineRule="exact"/>
              <w:rPr>
                <w:sz w:val="20"/>
                <w:szCs w:val="20"/>
                <w:color w:val="auto"/>
              </w:rPr>
            </w:pPr>
            <w:r>
              <w:rPr>
                <w:rFonts w:ascii="Arial" w:cs="Arial" w:eastAsia="Arial" w:hAnsi="Arial"/>
                <w:sz w:val="18"/>
                <w:szCs w:val="18"/>
                <w:color w:val="auto"/>
              </w:rPr>
              <w:t>Lowndes A. Smith</w:t>
            </w:r>
          </w:p>
        </w:tc>
        <w:tc>
          <w:tcPr>
            <w:tcW w:w="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73</w:t>
            </w:r>
          </w:p>
        </w:tc>
        <w:tc>
          <w:tcPr>
            <w:tcW w:w="140" w:type="dxa"/>
            <w:vAlign w:val="bottom"/>
          </w:tcPr>
          <w:p>
            <w:pPr>
              <w:spacing w:after="0"/>
              <w:rPr>
                <w:sz w:val="16"/>
                <w:szCs w:val="16"/>
                <w:color w:val="auto"/>
              </w:rPr>
            </w:pPr>
          </w:p>
        </w:tc>
        <w:tc>
          <w:tcPr>
            <w:tcW w:w="6160" w:type="dxa"/>
            <w:vAlign w:val="bottom"/>
            <w:gridSpan w:val="3"/>
          </w:tcPr>
          <w:p>
            <w:pPr>
              <w:ind w:left="160"/>
              <w:spacing w:after="0" w:line="195" w:lineRule="exact"/>
              <w:rPr>
                <w:sz w:val="20"/>
                <w:szCs w:val="20"/>
                <w:color w:val="auto"/>
              </w:rPr>
            </w:pPr>
            <w:r>
              <w:rPr>
                <w:rFonts w:ascii="Arial" w:cs="Arial" w:eastAsia="Arial" w:hAnsi="Arial"/>
                <w:sz w:val="18"/>
                <w:szCs w:val="18"/>
                <w:color w:val="auto"/>
              </w:rPr>
              <w:t>Director, Chairman of the Board</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Thomas M. Marra</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6160" w:type="dxa"/>
            <w:vAlign w:val="bottom"/>
            <w:gridSpan w:val="3"/>
          </w:tcPr>
          <w:p>
            <w:pPr>
              <w:ind w:left="160"/>
              <w:spacing w:after="0"/>
              <w:rPr>
                <w:sz w:val="20"/>
                <w:szCs w:val="20"/>
                <w:color w:val="auto"/>
              </w:rPr>
            </w:pPr>
            <w:r>
              <w:rPr>
                <w:rFonts w:ascii="Arial" w:cs="Arial" w:eastAsia="Arial" w:hAnsi="Arial"/>
                <w:sz w:val="18"/>
                <w:szCs w:val="18"/>
                <w:color w:val="auto"/>
              </w:rPr>
              <w:t>Director, President and Chief Executive Officer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Margaret A. Meister</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616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Tommie D. Brooks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6160" w:type="dxa"/>
            <w:vAlign w:val="bottom"/>
            <w:gridSpan w:val="3"/>
          </w:tcPr>
          <w:p>
            <w:pPr>
              <w:ind w:left="160"/>
              <w:spacing w:after="0"/>
              <w:rPr>
                <w:sz w:val="20"/>
                <w:szCs w:val="20"/>
                <w:color w:val="auto"/>
              </w:rPr>
            </w:pPr>
            <w:r>
              <w:rPr>
                <w:rFonts w:ascii="Arial" w:cs="Arial" w:eastAsia="Arial" w:hAnsi="Arial"/>
                <w:sz w:val="18"/>
                <w:szCs w:val="18"/>
                <w:color w:val="auto"/>
              </w:rPr>
              <w:t>Senior Vice President and Chief Actuary</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David S. Goldstein</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6160" w:type="dxa"/>
            <w:vAlign w:val="bottom"/>
            <w:gridSpan w:val="3"/>
          </w:tcPr>
          <w:p>
            <w:pPr>
              <w:ind w:left="160"/>
              <w:spacing w:after="0"/>
              <w:rPr>
                <w:sz w:val="20"/>
                <w:szCs w:val="20"/>
                <w:color w:val="auto"/>
              </w:rPr>
            </w:pPr>
            <w:r>
              <w:rPr>
                <w:rFonts w:ascii="Arial" w:cs="Arial" w:eastAsia="Arial" w:hAnsi="Arial"/>
                <w:sz w:val="18"/>
                <w:szCs w:val="18"/>
                <w:color w:val="auto"/>
              </w:rPr>
              <w:t>Senior Vice President and General Counsel and Secretary</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Christine A. Katzmar Holmes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6160" w:type="dxa"/>
            <w:vAlign w:val="bottom"/>
            <w:gridSpan w:val="3"/>
          </w:tcPr>
          <w:p>
            <w:pPr>
              <w:ind w:left="160"/>
              <w:spacing w:after="0"/>
              <w:rPr>
                <w:sz w:val="20"/>
                <w:szCs w:val="20"/>
                <w:color w:val="auto"/>
              </w:rPr>
            </w:pPr>
            <w:r>
              <w:rPr>
                <w:rFonts w:ascii="Arial" w:cs="Arial" w:eastAsia="Arial" w:hAnsi="Arial"/>
                <w:sz w:val="18"/>
                <w:szCs w:val="18"/>
                <w:color w:val="auto"/>
              </w:rPr>
              <w:t>Senior Vice President — Human Resources and Administration</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George N. McKinnon</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6160" w:type="dxa"/>
            <w:vAlign w:val="bottom"/>
            <w:gridSpan w:val="3"/>
          </w:tcPr>
          <w:p>
            <w:pPr>
              <w:ind w:left="160"/>
              <w:spacing w:after="0"/>
              <w:rPr>
                <w:sz w:val="20"/>
                <w:szCs w:val="20"/>
                <w:color w:val="auto"/>
              </w:rPr>
            </w:pPr>
            <w:r>
              <w:rPr>
                <w:rFonts w:ascii="Arial" w:cs="Arial" w:eastAsia="Arial" w:hAnsi="Arial"/>
                <w:sz w:val="18"/>
                <w:szCs w:val="18"/>
                <w:color w:val="auto"/>
              </w:rPr>
              <w:t>Senior Vice President and Chief Information Officer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Michael W. Fry</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6160" w:type="dxa"/>
            <w:vAlign w:val="bottom"/>
            <w:gridSpan w:val="3"/>
          </w:tcPr>
          <w:p>
            <w:pPr>
              <w:ind w:left="160"/>
              <w:spacing w:after="0"/>
              <w:rPr>
                <w:sz w:val="20"/>
                <w:szCs w:val="20"/>
                <w:color w:val="auto"/>
              </w:rPr>
            </w:pPr>
            <w:r>
              <w:rPr>
                <w:rFonts w:ascii="Arial" w:cs="Arial" w:eastAsia="Arial" w:hAnsi="Arial"/>
                <w:sz w:val="18"/>
                <w:szCs w:val="18"/>
                <w:color w:val="auto"/>
                <w:w w:val="93"/>
              </w:rPr>
              <w:t>Executive Vice President — Benefits Division, Symetra Life Insurance Company</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Daniel R. Guilbert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6160" w:type="dxa"/>
            <w:vAlign w:val="bottom"/>
            <w:gridSpan w:val="3"/>
          </w:tcPr>
          <w:p>
            <w:pPr>
              <w:ind w:left="160"/>
              <w:spacing w:after="0"/>
              <w:rPr>
                <w:sz w:val="20"/>
                <w:szCs w:val="20"/>
                <w:color w:val="auto"/>
              </w:rPr>
            </w:pPr>
            <w:r>
              <w:rPr>
                <w:rFonts w:ascii="Arial" w:cs="Arial" w:eastAsia="Arial" w:hAnsi="Arial"/>
                <w:sz w:val="18"/>
                <w:szCs w:val="18"/>
                <w:color w:val="auto"/>
                <w:w w:val="90"/>
              </w:rPr>
              <w:t>Executive Vice President — Retirement Division, Symetra Life Insurance Company</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Craig R. Raymond</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6160" w:type="dxa"/>
            <w:vAlign w:val="bottom"/>
            <w:gridSpan w:val="3"/>
          </w:tcPr>
          <w:p>
            <w:pPr>
              <w:ind w:left="160"/>
              <w:spacing w:after="0"/>
              <w:rPr>
                <w:sz w:val="20"/>
                <w:szCs w:val="20"/>
                <w:color w:val="auto"/>
              </w:rPr>
            </w:pPr>
            <w:r>
              <w:rPr>
                <w:rFonts w:ascii="Arial" w:cs="Arial" w:eastAsia="Arial" w:hAnsi="Arial"/>
                <w:sz w:val="18"/>
                <w:szCs w:val="18"/>
                <w:color w:val="auto"/>
              </w:rPr>
              <w:t>Senior Vice President and Chief Strategy Officer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Jonathan E. Curley</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6160" w:type="dxa"/>
            <w:vAlign w:val="bottom"/>
            <w:gridSpan w:val="3"/>
          </w:tcPr>
          <w:p>
            <w:pPr>
              <w:ind w:left="160"/>
              <w:spacing w:after="0"/>
              <w:rPr>
                <w:sz w:val="20"/>
                <w:szCs w:val="20"/>
                <w:color w:val="auto"/>
              </w:rPr>
            </w:pPr>
            <w:r>
              <w:rPr>
                <w:rFonts w:ascii="Arial" w:cs="Arial" w:eastAsia="Arial" w:hAnsi="Arial"/>
                <w:sz w:val="18"/>
                <w:szCs w:val="18"/>
                <w:color w:val="auto"/>
                <w:w w:val="90"/>
              </w:rPr>
              <w:t>Former Executive Vice President — Life Division, Symetra Life Insurance Company</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Peter S. Burgess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61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David T. Foy</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61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Lois W. Grady</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61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Sander M. Levy</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61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22"/>
        </w:trPr>
        <w:tc>
          <w:tcPr>
            <w:tcW w:w="4180" w:type="dxa"/>
            <w:vAlign w:val="bottom"/>
            <w:gridSpan w:val="2"/>
          </w:tcPr>
          <w:p>
            <w:pPr>
              <w:spacing w:after="0"/>
              <w:rPr>
                <w:sz w:val="20"/>
                <w:szCs w:val="20"/>
                <w:color w:val="auto"/>
              </w:rPr>
            </w:pPr>
            <w:r>
              <w:rPr>
                <w:rFonts w:ascii="Arial" w:cs="Arial" w:eastAsia="Arial" w:hAnsi="Arial"/>
                <w:sz w:val="18"/>
                <w:szCs w:val="18"/>
                <w:color w:val="auto"/>
              </w:rPr>
              <w:t>Robert R. Lusardi</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61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bl>
    <w:p>
      <w:pPr>
        <w:spacing w:after="0" w:line="15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 xml:space="preserve">Lowndes A. Smith </w:t>
      </w:r>
      <w:r>
        <w:rPr>
          <w:rFonts w:ascii="Arial" w:cs="Arial" w:eastAsia="Arial" w:hAnsi="Arial"/>
          <w:sz w:val="16"/>
          <w:szCs w:val="16"/>
          <w:color w:val="auto"/>
        </w:rPr>
        <w:t>has been a director of Symetra since June 2007 and has served as Chairman of the Board since May 2009. Mr. Smith has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Managing Partner of Whittington Gray Associates since 2003. Mr. Smith formerly served as Vice Chairman of The Hartford Financial Services Group, Inc. (“The Hartford”) and President and Chief Executive Officer of Hartford Life Insurance Company until his retirement in 2002. He joined The Hartford in 1968. Mr. Smith also serves as Chairman of OneBeacon Insurance Group, Ltd. (NYSE: OB) and is a director of White Mountains Insurance Group, Ltd. (NYSE: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WTM) and 91 investment companies in the mutual funds of The Hartford. He received his B.S. degree from Babson College.</w:t>
      </w:r>
    </w:p>
    <w:p>
      <w:pPr>
        <w:spacing w:after="0" w:line="165"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i w:val="1"/>
          <w:iCs w:val="1"/>
          <w:color w:val="auto"/>
        </w:rPr>
        <w:t xml:space="preserve">Thomas M. Marra </w:t>
      </w:r>
      <w:r>
        <w:rPr>
          <w:rFonts w:ascii="Arial" w:cs="Arial" w:eastAsia="Arial" w:hAnsi="Arial"/>
          <w:sz w:val="16"/>
          <w:szCs w:val="16"/>
          <w:color w:val="auto"/>
        </w:rPr>
        <w:t>has been a director, Chief Executive Officer and President of Symetra since June 2010 and director and President of Symetra Life</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Company since June 2010. He is also an officer and director of various affiliates of Symetra. Prior to joining Symetra, Mr. Marra served as Senior Advisor at the Boston Consulting Group in the North America Financial Services division from September 2009 until May 2010. Beginning in 1980, when he was an actuarial student, and until July 2009, Mr. Marra was with The Hartford Financial Services Group, Inc. (“The Hartford”). While at The Hartford, Mr. Marra held increasingly senior positions, most recently as President and Chief Operating Officer, as well as holding various directorships with the parent company and its subsidiaries. He is a Trustee of Symetra Mutual Funds Trust overseeing three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380"/>
          </w:cols>
          <w:pgMar w:left="240" w:top="459" w:right="2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investment portfolios. Mr. Marra is a past Chairman of the Board of the American Council of Life Insurers and of the Insured Retirement Institute. Mr. Marra is a Fellow of the Society of Actuaries and a member of the American Academy of Actuaries. He received his B.S. degree from St. Bonaventure University.</w:t>
      </w:r>
    </w:p>
    <w:p>
      <w:pPr>
        <w:spacing w:after="0" w:line="85"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i w:val="1"/>
          <w:iCs w:val="1"/>
          <w:color w:val="auto"/>
        </w:rPr>
        <w:t xml:space="preserve">Margaret A. Meister </w:t>
      </w:r>
      <w:r>
        <w:rPr>
          <w:rFonts w:ascii="Arial" w:cs="Arial" w:eastAsia="Arial" w:hAnsi="Arial"/>
          <w:sz w:val="16"/>
          <w:szCs w:val="16"/>
          <w:color w:val="auto"/>
        </w:rPr>
        <w:t>has been Executive Vice President and Chief Financial Officer of Symetra since February 2006 and Executive Vice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Financial Officer of Symetra Life Insurance Company since March 2006. In addition, Ms. Meister serves as the Chief Risk Officer, principal financial officer and principal accounting officer of Symetra. She is also a director of Symetra Life Insurance Company as well as an officer and director of various affiliates of Symetra. Ms. Meister is a Fellow of the Society of Actuaries and is a member of the American Academy of Actuaries. She joined Symetra Life Insurance Company in 1988 and served in a variety of positions, including Chief Actuary and Vice President, prior to being promoted to her current position. Ms. Meister received her B.A. degree from Whitman College.</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Tommie D. Brooks </w:t>
      </w:r>
      <w:r>
        <w:rPr>
          <w:rFonts w:ascii="Arial" w:cs="Arial" w:eastAsia="Arial" w:hAnsi="Arial"/>
          <w:sz w:val="18"/>
          <w:szCs w:val="18"/>
          <w:color w:val="auto"/>
        </w:rPr>
        <w:t>has been Senior Vice President of Symetra and Symetra Life Insurance Company since November 2010 and Chief Actuary since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2007. He is also an officer of various affiliates of Symetra. Mr. Brooks joined Symetra Life Insurance Company in 1992, and served in a variety of managerial positions, including Vice President, throughout the organization. Mr. Brooks is a Fellow of the Society of Actuaries and is a member of the American Academy of Actuaries. Mr. Brooks received his B.S. degree from Central Washington University.</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David S. Goldstein </w:t>
      </w:r>
      <w:r>
        <w:rPr>
          <w:rFonts w:ascii="Arial" w:cs="Arial" w:eastAsia="Arial" w:hAnsi="Arial"/>
          <w:sz w:val="18"/>
          <w:szCs w:val="18"/>
          <w:color w:val="auto"/>
        </w:rPr>
        <w:t>has been Senior Vice President, General Counsel and Secretary of Symetra since November 2011 and a director,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Counsel and Secretary of Symetra Life Insurance Company since December 2011. He is also an officer and director of various affiliates of Symetra. From May 1989 to November 2011 Mr. Goldstein was with the law firm of Sutherland Asbill &amp; Brennan LLP. Before joining Sutherland, Mr. Goldstein served on the staff of the U.S. Securities and Exchange Commission in the Division of Investment Management. Mr. Goldstein received his B.A. degree from Hampshire College and his J.D. from Boston University School of Law.</w:t>
      </w:r>
    </w:p>
    <w:p>
      <w:pPr>
        <w:spacing w:after="0" w:line="14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i w:val="1"/>
          <w:iCs w:val="1"/>
          <w:color w:val="auto"/>
        </w:rPr>
        <w:t xml:space="preserve">Christine A. Katzmar Holmes </w:t>
      </w:r>
      <w:r>
        <w:rPr>
          <w:rFonts w:ascii="Arial" w:cs="Arial" w:eastAsia="Arial" w:hAnsi="Arial"/>
          <w:sz w:val="16"/>
          <w:szCs w:val="16"/>
          <w:color w:val="auto"/>
        </w:rPr>
        <w:t>has been Senior Vice President of Symetra since November 2010 and was Vice President of Symetra from August 2004 to</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2010. She is responsible for Human Resources, Corporate Operations and Corporate Security/SIU. Ms. Katzmar Holmes joined Symetra Life Insurance Company in 2001 as Vice President and has been Senior Vice President of Symetra Life Insurance Company since November 2010. She is also an officer of various affiliates of Symetra. Ms. Katzmar Holmes received her B.S. degree from Miami University, Ohio.</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George N. McKinnon </w:t>
      </w:r>
      <w:r>
        <w:rPr>
          <w:rFonts w:ascii="Arial" w:cs="Arial" w:eastAsia="Arial" w:hAnsi="Arial"/>
          <w:sz w:val="18"/>
          <w:szCs w:val="18"/>
          <w:color w:val="auto"/>
        </w:rPr>
        <w:t>has been Senior Vice President and Chief Information Officer of Symetra and Symetra Life Insurance Company since March 2011.</w:t>
      </w:r>
      <w:r>
        <w:rPr>
          <w:rFonts w:ascii="Arial" w:cs="Arial" w:eastAsia="Arial" w:hAnsi="Arial"/>
          <w:sz w:val="18"/>
          <w:szCs w:val="18"/>
          <w:i w:val="1"/>
          <w:iCs w:val="1"/>
          <w:color w:val="auto"/>
        </w:rPr>
        <w:t xml:space="preserve"> </w:t>
      </w:r>
      <w:r>
        <w:rPr>
          <w:rFonts w:ascii="Arial" w:cs="Arial" w:eastAsia="Arial" w:hAnsi="Arial"/>
          <w:sz w:val="18"/>
          <w:szCs w:val="18"/>
          <w:color w:val="auto"/>
        </w:rPr>
        <w:t>From May 2009 to March 2011 Mr. McKinnon was with Bleum Inc., where he served as Senior Vice President and Chief Information Officer. He served as Vice President of Expedia from December 2006 to January 2009, after which he took a sabbatical until May 2009. Mr. McKinnon received his B.S. degree from the University of New Hampshire and his M.B.A. from West Coast University. He also participated in the executive education program at Stanford University’s Graduate School of Business.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Michael W. Fry </w:t>
      </w:r>
      <w:r>
        <w:rPr>
          <w:rFonts w:ascii="Arial" w:cs="Arial" w:eastAsia="Arial" w:hAnsi="Arial"/>
          <w:sz w:val="16"/>
          <w:szCs w:val="16"/>
          <w:color w:val="auto"/>
        </w:rPr>
        <w:t>has been Executive Vice President of Symetra Life Insurance Company since September 2010 and is responsible for the operations of its</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Division. He has been a director of Symetra Life Insurance Company since January 2009. He is also an officer and director of various affiliates of Symetra. Prior to his current position, Mr. Fry served as Senior Vice President of Symetra Life Insurance Company from May 2008 until September 2010 and as Vice President from February 2003 until May 2008. Mr. Fry joined Symetra in August 2002. He received his B.S. degree from Indiana University.</w:t>
      </w:r>
    </w:p>
    <w:p>
      <w:pPr>
        <w:spacing w:after="0" w:line="11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i w:val="1"/>
          <w:iCs w:val="1"/>
          <w:color w:val="auto"/>
        </w:rPr>
        <w:t xml:space="preserve">Daniel R. Guilbert </w:t>
      </w:r>
      <w:r>
        <w:rPr>
          <w:rFonts w:ascii="Arial" w:cs="Arial" w:eastAsia="Arial" w:hAnsi="Arial"/>
          <w:sz w:val="18"/>
          <w:szCs w:val="18"/>
          <w:color w:val="auto"/>
        </w:rPr>
        <w:t>has been a director and Executive Vice President of Symetra Life Insurance Company since November 2010 and is responsible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of its Retirement Division. He is also an officer and director of various affiliates of Symetra. From May 2010 to October 2010 Mr. Guilbert was with Aviva North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America, where he served as Chief Risk Officer. From June 1996 to April 2010 he was at Hartford Life Insurance Company in a variety of senior risk management, product development and actuarial roles. Mr. Guilbert attained the Fellow of the Society of Actuaries in 2001. He received his B.S. degree from Bryant University.</w:t>
      </w:r>
    </w:p>
    <w:p>
      <w:pPr>
        <w:spacing w:after="0" w:line="14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 xml:space="preserve">Craig R. Raymond </w:t>
      </w:r>
      <w:r>
        <w:rPr>
          <w:rFonts w:ascii="Arial" w:cs="Arial" w:eastAsia="Arial" w:hAnsi="Arial"/>
          <w:sz w:val="16"/>
          <w:szCs w:val="16"/>
          <w:color w:val="auto"/>
        </w:rPr>
        <w:t>has been Senior Vice President and Chief Strategy Officer of Symetra Life Insurance Company since September 2012 and is responsible</w:t>
      </w:r>
      <w:r>
        <w:rPr>
          <w:rFonts w:ascii="Arial" w:cs="Arial" w:eastAsia="Arial" w:hAnsi="Arial"/>
          <w:sz w:val="16"/>
          <w:szCs w:val="16"/>
          <w:i w:val="1"/>
          <w:iCs w:val="1"/>
          <w:color w:val="auto"/>
        </w:rPr>
        <w:t xml:space="preserve"> </w:t>
      </w:r>
      <w:r>
        <w:rPr>
          <w:rFonts w:ascii="Arial" w:cs="Arial" w:eastAsia="Arial" w:hAnsi="Arial"/>
          <w:sz w:val="16"/>
          <w:szCs w:val="16"/>
          <w:color w:val="auto"/>
        </w:rPr>
        <w:t>for long-term strategic planning, business portfolio analysis, and mergers and acquisitions. He is also an officer of various affiliates of Symetra. From August 2009 to September 2012 Mr. Raymond was with John Hancock Financial Services, where he served as Chief Risk Officer and Chief Actuary. From April 1989 to July 2009 he was at The Hartford Financial Services Group, Inc. in a variety of senior risk management and actuarial roles, including Chief Risk Officer.</w:t>
      </w:r>
    </w:p>
    <w:p>
      <w:pPr>
        <w:spacing w:after="0" w:line="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Mr. Raymond attained the Fellow of the Society of Actuaries in 1985 and is a member of the American Academy of Actuaries. He received his B.S. degree from the Wharton School of the University of Pennsylvania.</w:t>
      </w:r>
    </w:p>
    <w:p>
      <w:pPr>
        <w:spacing w:after="0" w:line="13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Jonathan E. Curley, </w:t>
      </w:r>
      <w:r>
        <w:rPr>
          <w:rFonts w:ascii="Arial" w:cs="Arial" w:eastAsia="Arial" w:hAnsi="Arial"/>
          <w:sz w:val="16"/>
          <w:szCs w:val="16"/>
          <w:color w:val="auto"/>
        </w:rPr>
        <w:t>prior to his departure in 2012, was a director and Executive Vice President of Symetra Life Insurance Company from November 2010</w:t>
      </w:r>
      <w:r>
        <w:rPr>
          <w:rFonts w:ascii="Arial" w:cs="Arial" w:eastAsia="Arial" w:hAnsi="Arial"/>
          <w:sz w:val="16"/>
          <w:szCs w:val="16"/>
          <w:i w:val="1"/>
          <w:iCs w:val="1"/>
          <w:color w:val="auto"/>
        </w:rPr>
        <w:t xml:space="preserve"> </w:t>
      </w:r>
      <w:r>
        <w:rPr>
          <w:rFonts w:ascii="Arial" w:cs="Arial" w:eastAsia="Arial" w:hAnsi="Arial"/>
          <w:sz w:val="16"/>
          <w:szCs w:val="16"/>
          <w:color w:val="auto"/>
        </w:rPr>
        <w:t>to June 2012 and was responsible for the operations of its Life Division. He was also an officer and director of various affiliates of Symetra. From January 2009 to October 2010 Mr. Curley was with Wells Fargo Insurance Services USA, Inc., where he was Senior Vice President and Managing Director of Individual Insurance. From May 2005 until December 2008 he held various senior executive positions at Wachovia Insurance Services. Mr. Curley is a Chartered Financial Consultant (ChFC), a Chartered Life Underwriter (CLU) and a member of the Association of Advanced Life Underwriting (AALU). Mr. Curley received his bachelor’s degree from the College of the Holy Cross.</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Peter S. Burgess </w:t>
      </w:r>
      <w:r>
        <w:rPr>
          <w:rFonts w:ascii="Arial" w:cs="Arial" w:eastAsia="Arial" w:hAnsi="Arial"/>
          <w:sz w:val="16"/>
          <w:szCs w:val="16"/>
          <w:color w:val="auto"/>
        </w:rPr>
        <w:t>has been a director of Symetra since June 2010. Since June 1999 he has served as an independent adviser on financial and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issues to insurance companies and their audit committees. He previously spent 35 years at Arthur Andersen LLP as an accountant and partner until his retirement in 1999. He is also a Trustee of John Hancock Funds overseeing approximately 240 mutual funds and a director of Lincoln Educational Services Corporation (NASDAQ: LINC). He was a director at PMA Capital Corporation from 2004 to 2010. Mr. Burgess received his B.S. degree from Lehigh University.</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David T. Foy </w:t>
      </w:r>
      <w:r>
        <w:rPr>
          <w:rFonts w:ascii="Arial" w:cs="Arial" w:eastAsia="Arial" w:hAnsi="Arial"/>
          <w:sz w:val="18"/>
          <w:szCs w:val="18"/>
          <w:color w:val="auto"/>
        </w:rPr>
        <w:t>has been a director of Symetra since March 2004 and served as Chairman of the Board from August 2004 until May 2009. He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Vice President and Chief Financial Officer of White Mountains Insurance Group, Ltd. since 2003. Previously, he was Senior Vice President and Chief Financial Officer of Hartford Life, Inc., which he joined in 1993. He is also a director of OneBeacon Insurance Group, Ltd. (NYSE: OB). He received his B.S. degree from the Rochester Institute of Technology.</w:t>
      </w:r>
    </w:p>
    <w:p>
      <w:pPr>
        <w:spacing w:after="0" w:line="143"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i w:val="1"/>
          <w:iCs w:val="1"/>
          <w:color w:val="auto"/>
        </w:rPr>
        <w:t xml:space="preserve">Lois W. Grady </w:t>
      </w:r>
      <w:r>
        <w:rPr>
          <w:rFonts w:ascii="Arial" w:cs="Arial" w:eastAsia="Arial" w:hAnsi="Arial"/>
          <w:sz w:val="15"/>
          <w:szCs w:val="15"/>
          <w:color w:val="auto"/>
        </w:rPr>
        <w:t>has been a director of Symetra since August 2004 and served as Vice Chairman of the Board from May 2009 through April 2012. Ms. Grady</w:t>
      </w:r>
      <w:r>
        <w:rPr>
          <w:rFonts w:ascii="Arial" w:cs="Arial" w:eastAsia="Arial" w:hAnsi="Arial"/>
          <w:sz w:val="15"/>
          <w:szCs w:val="15"/>
          <w:i w:val="1"/>
          <w:iCs w:val="1"/>
          <w:color w:val="auto"/>
        </w:rPr>
        <w:t xml:space="preserve"> </w:t>
      </w:r>
      <w:r>
        <w:rPr>
          <w:rFonts w:ascii="Arial" w:cs="Arial" w:eastAsia="Arial" w:hAnsi="Arial"/>
          <w:sz w:val="15"/>
          <w:szCs w:val="15"/>
          <w:color w:val="auto"/>
        </w:rPr>
        <w:t>served as Executive Vice President and Director of Investment Products Services of Hartford Life, Inc. from 2002 until her retirement in April 2004 and as Senior Vice President and Director of Investment Products Services of Hartford Life, Inc. from 1998 through 2002. She began her career with Hartford Life, Inc. in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1983. She is also a director of OneBeacon Insurance Group, Ltd. (NYSE: OB). Ms. Grady received her B.S. degree from Southern Connecticut State University.</w:t>
      </w:r>
    </w:p>
    <w:p>
      <w:pPr>
        <w:spacing w:after="0" w:line="18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 xml:space="preserve">Sander M. Levy </w:t>
      </w:r>
      <w:r>
        <w:rPr>
          <w:rFonts w:ascii="Arial" w:cs="Arial" w:eastAsia="Arial" w:hAnsi="Arial"/>
          <w:sz w:val="18"/>
          <w:szCs w:val="18"/>
          <w:color w:val="auto"/>
        </w:rPr>
        <w:t>has been a director of Symetra since August 2004. He is a Managing Director of Vestar Capital Partners, a private equity firm, and was a</w:t>
      </w:r>
      <w:r>
        <w:rPr>
          <w:rFonts w:ascii="Arial" w:cs="Arial" w:eastAsia="Arial" w:hAnsi="Arial"/>
          <w:sz w:val="18"/>
          <w:szCs w:val="18"/>
          <w:i w:val="1"/>
          <w:iCs w:val="1"/>
          <w:color w:val="auto"/>
        </w:rPr>
        <w:t xml:space="preserve"> </w:t>
      </w:r>
      <w:r>
        <w:rPr>
          <w:rFonts w:ascii="Arial" w:cs="Arial" w:eastAsia="Arial" w:hAnsi="Arial"/>
          <w:sz w:val="18"/>
          <w:szCs w:val="18"/>
          <w:color w:val="auto"/>
        </w:rPr>
        <w:t>founding partner at its inception in 1988. He was previously a member of the Management Buyout Group of The First Boston Corporation. He is also a director of Duff &amp; Phelps Corporation (NYSE: DUF), Wilton Re Holdings Limited and Triton Container International Limited. He was a director at Validus Holdings, Ltd. (NYSE: VR) from 2005 to 2012. He received his B.S. degree from the Wharton School of the University of Pennsylvania and his M.B.A. degree from Columbia Business School.</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i w:val="1"/>
          <w:iCs w:val="1"/>
          <w:color w:val="auto"/>
        </w:rPr>
        <w:t xml:space="preserve">Robert R. Lusardi </w:t>
      </w:r>
      <w:r>
        <w:rPr>
          <w:rFonts w:ascii="Arial" w:cs="Arial" w:eastAsia="Arial" w:hAnsi="Arial"/>
          <w:sz w:val="16"/>
          <w:szCs w:val="16"/>
          <w:color w:val="auto"/>
        </w:rPr>
        <w:t>has been a director of Symetra since August 2005. Since January 2011 he has been Chief Executive Officer and managing member of</w:t>
      </w:r>
      <w:r>
        <w:rPr>
          <w:rFonts w:ascii="Arial" w:cs="Arial" w:eastAsia="Arial" w:hAnsi="Arial"/>
          <w:sz w:val="16"/>
          <w:szCs w:val="16"/>
          <w:i w:val="1"/>
          <w:iCs w:val="1"/>
          <w:color w:val="auto"/>
        </w:rPr>
        <w:t xml:space="preserve"> </w:t>
      </w:r>
      <w:r>
        <w:rPr>
          <w:rFonts w:ascii="Arial" w:cs="Arial" w:eastAsia="Arial" w:hAnsi="Arial"/>
          <w:sz w:val="16"/>
          <w:szCs w:val="16"/>
          <w:color w:val="auto"/>
        </w:rPr>
        <w:t>PremieRe Holdings LLC, a private insurance company. He was a director of Primus Guaranty, Ltd. (NYSE: PRS) from 2002 to 2011, where he was also Senior Advisor during 2010. He was also a director at OneBeacon Insurance Group, Ltd. (NYSE: OB) from August 2006 to February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2010. He was President and Chief Executive Officer of White Mountains Financial Services LLC from February 2005 to February 2010. From 1998 to 2005 he was a member of the Executive Management Board of XL Capital Ltd. (now XL Group) where his duties included Group CFO and CEO of an operating segment. He received his B.A. and M.A. degrees from Oxford University and his M.B.A. from Harvard University.</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information required by Item 11 is included in the Company’s definitive Proxy Statement, to be filed pursuant to Regulation 14A of the Securities Exchange Act of 1934 in connection with the Company’s 2013 Annual Meeting of Stockholders, under the captions “Compensation Discussion and Analysis” and “Compensation of Named Executive Officers” and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information required by Item 12 is included in the Company’s definitive Proxy Statement, to be filed pursuant to Regulation 14A of the Securities Exchange Act of 1934 in connection with the Company’s 2013 Annual Meeting of Stockholders, under the caption “Beneficial Ownership” and “Equity Compensation Plan Information” and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information required by Item 13 is included in the Company’s definitive Proxy Statement, to be filed pursuant to Regulation 14A of the Securities Exchange Act of 1934 in connection with the Company’s 2013 Annual Meeting of Stockholders, under the caption “Certain Relationships and Related Transactions” and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information required by Item 14 is included in the Company’s definitive Proxy Statement, to be filed pursuant to Regulation 14A of the Securities Exchange Act of 1934 in connection with the Company’s 2013 Annual Meeting of Stockholders, under the caption “Independent Auditor” and is incorporated herein by reference.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90"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Financial Statements: The information required herein is provided in Item 8 — “Financial Statements and Supplementary Data.”</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Consolidated Balance Sheets — As of December 31, 2012 and 2011 (page 99)</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Consolidated Statements of Income — Years ended December 31, 2012, 2011 and 2010 (page 100)</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Consolidated Statements of Comprehensive Income — Years ended December 31, 2012, 2011 and 2010 (page 101)</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Consolidated Statements of Changes in Stockholders’ Equity — Years ended December 31, 2012, 2011 and 2010 (page 102)</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Consolidated Statements of Cash Flows — Years ended December 31, 2012, 2011 and 2010 (page 103)</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Notes to Consolidated Financial Statements — Years ended December 31, 2012, 2011 and 2010 (pages 104 to 143)</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Financial schedules required to be filed by Items 8 and 15(d) of this report: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Schedule I — Summary of Investments – Other Than Investments in Related Parties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Schedule II — Condensed Financial Information of Registrant (Parent Company Only)</w:t>
      </w:r>
    </w:p>
    <w:p>
      <w:pPr>
        <w:spacing w:after="0" w:line="90"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We omit other schedules from this list – and from this report – because they either are not applicable or the information is included in our consolidated financial statements.</w:t>
      </w:r>
    </w:p>
    <w:p>
      <w:pPr>
        <w:spacing w:after="0" w:line="51"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Exhibits: Refer to the Exhibit Index on page 157.</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0560"/>
          </w:cols>
          <w:pgMar w:left="240" w:top="459" w:right="10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SYMETRA FINANCIAL CORPORATION</w:t>
      </w:r>
    </w:p>
    <w:p>
      <w:pPr>
        <w:spacing w:after="0" w:line="231"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M. Marra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10795</wp:posOffset>
            </wp:positionV>
            <wp:extent cx="249555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Thomas M. Marra</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2013</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February 26,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1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00" w:type="dxa"/>
            <w:vAlign w:val="bottom"/>
            <w:gridSpan w:val="2"/>
          </w:tcPr>
          <w:p>
            <w:pPr>
              <w:jc w:val="center"/>
              <w:ind w:right="1652"/>
              <w:spacing w:after="0"/>
              <w:rPr>
                <w:sz w:val="20"/>
                <w:szCs w:val="20"/>
                <w:color w:val="auto"/>
              </w:rPr>
            </w:pPr>
            <w:r>
              <w:rPr>
                <w:rFonts w:ascii="Arial" w:cs="Arial" w:eastAsia="Arial" w:hAnsi="Arial"/>
                <w:sz w:val="14"/>
                <w:szCs w:val="14"/>
                <w:b w:val="1"/>
                <w:bCs w:val="1"/>
                <w:color w:val="auto"/>
                <w:w w:val="90"/>
              </w:rPr>
              <w:t>Title</w:t>
            </w:r>
          </w:p>
        </w:tc>
        <w:tc>
          <w:tcPr>
            <w:tcW w:w="0" w:type="dxa"/>
            <w:vAlign w:val="bottom"/>
          </w:tcPr>
          <w:p>
            <w:pPr>
              <w:spacing w:after="0"/>
              <w:rPr>
                <w:sz w:val="1"/>
                <w:szCs w:val="1"/>
                <w:color w:val="auto"/>
              </w:rPr>
            </w:pPr>
          </w:p>
        </w:tc>
      </w:tr>
      <w:tr>
        <w:trPr>
          <w:trHeight w:val="210"/>
        </w:trPr>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M. Marra</w:t>
            </w:r>
          </w:p>
        </w:tc>
        <w:tc>
          <w:tcPr>
            <w:tcW w:w="600" w:type="dxa"/>
            <w:vAlign w:val="bottom"/>
            <w:tcBorders>
              <w:top w:val="single" w:sz="8" w:color="auto"/>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Thomas</w:t>
            </w:r>
          </w:p>
        </w:tc>
        <w:tc>
          <w:tcPr>
            <w:tcW w:w="26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w w:val="78"/>
              </w:rPr>
              <w:t>M.</w:t>
            </w:r>
          </w:p>
        </w:tc>
        <w:tc>
          <w:tcPr>
            <w:tcW w:w="1740" w:type="dxa"/>
            <w:vAlign w:val="bottom"/>
          </w:tcPr>
          <w:p>
            <w:pPr>
              <w:ind w:left="80"/>
              <w:spacing w:after="0"/>
              <w:rPr>
                <w:sz w:val="20"/>
                <w:szCs w:val="20"/>
                <w:color w:val="auto"/>
              </w:rPr>
            </w:pPr>
            <w:r>
              <w:rPr>
                <w:rFonts w:ascii="Arial" w:cs="Arial" w:eastAsia="Arial" w:hAnsi="Arial"/>
                <w:sz w:val="18"/>
                <w:szCs w:val="18"/>
                <w:color w:val="auto"/>
              </w:rPr>
              <w:t>Marra</w:t>
            </w:r>
          </w:p>
        </w:tc>
        <w:tc>
          <w:tcPr>
            <w:tcW w:w="0" w:type="dxa"/>
            <w:vAlign w:val="bottom"/>
          </w:tcPr>
          <w:p>
            <w:pPr>
              <w:spacing w:after="0"/>
              <w:rPr>
                <w:sz w:val="1"/>
                <w:szCs w:val="1"/>
                <w:color w:val="auto"/>
              </w:rPr>
            </w:pPr>
          </w:p>
        </w:tc>
      </w:tr>
      <w:tr>
        <w:trPr>
          <w:trHeight w:val="188"/>
        </w:trPr>
        <w:tc>
          <w:tcPr>
            <w:tcW w:w="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100" w:type="dxa"/>
            <w:vAlign w:val="bottom"/>
            <w:gridSpan w:val="3"/>
          </w:tcPr>
          <w:p>
            <w:pPr>
              <w:jc w:val="center"/>
              <w:ind w:left="1272"/>
              <w:spacing w:after="0" w:line="188" w:lineRule="exact"/>
              <w:rPr>
                <w:sz w:val="20"/>
                <w:szCs w:val="20"/>
                <w:color w:val="auto"/>
              </w:rPr>
            </w:pPr>
            <w:r>
              <w:rPr>
                <w:rFonts w:ascii="Arial" w:cs="Arial" w:eastAsia="Arial" w:hAnsi="Arial"/>
                <w:sz w:val="18"/>
                <w:szCs w:val="18"/>
                <w:color w:val="auto"/>
                <w:w w:val="89"/>
              </w:rPr>
              <w:t>President, Chief Executive Officer and Director</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100" w:type="dxa"/>
            <w:vAlign w:val="bottom"/>
            <w:gridSpan w:val="3"/>
          </w:tcPr>
          <w:p>
            <w:pPr>
              <w:jc w:val="center"/>
              <w:ind w:left="1272"/>
              <w:spacing w:after="0"/>
              <w:rPr>
                <w:sz w:val="20"/>
                <w:szCs w:val="20"/>
                <w:color w:val="auto"/>
              </w:rPr>
            </w:pPr>
            <w:r>
              <w:rPr>
                <w:rFonts w:ascii="Arial" w:cs="Arial" w:eastAsia="Arial" w:hAnsi="Arial"/>
                <w:sz w:val="18"/>
                <w:szCs w:val="18"/>
                <w:color w:val="auto"/>
                <w:w w:val="92"/>
              </w:rPr>
              <w:t>(Principal Executive Officer)</w:t>
            </w:r>
          </w:p>
        </w:tc>
        <w:tc>
          <w:tcPr>
            <w:tcW w:w="0" w:type="dxa"/>
            <w:vAlign w:val="bottom"/>
          </w:tcPr>
          <w:p>
            <w:pPr>
              <w:spacing w:after="0"/>
              <w:rPr>
                <w:sz w:val="1"/>
                <w:szCs w:val="1"/>
                <w:color w:val="auto"/>
              </w:rPr>
            </w:pPr>
          </w:p>
        </w:tc>
      </w:tr>
      <w:tr>
        <w:trPr>
          <w:trHeight w:val="446"/>
        </w:trPr>
        <w:tc>
          <w:tcPr>
            <w:tcW w:w="2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Margaret A. Meister</w:t>
            </w:r>
          </w:p>
        </w:tc>
        <w:tc>
          <w:tcPr>
            <w:tcW w:w="1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100" w:type="dxa"/>
            <w:vAlign w:val="bottom"/>
            <w:gridSpan w:val="3"/>
          </w:tcPr>
          <w:p>
            <w:pPr>
              <w:jc w:val="center"/>
              <w:ind w:left="1272"/>
              <w:spacing w:after="0"/>
              <w:rPr>
                <w:sz w:val="20"/>
                <w:szCs w:val="20"/>
                <w:color w:val="auto"/>
              </w:rPr>
            </w:pPr>
            <w:r>
              <w:rPr>
                <w:rFonts w:ascii="Arial" w:cs="Arial" w:eastAsia="Arial" w:hAnsi="Arial"/>
                <w:sz w:val="18"/>
                <w:szCs w:val="18"/>
                <w:color w:val="auto"/>
                <w:w w:val="89"/>
              </w:rPr>
              <w:t>Margaret A. Meister</w:t>
            </w: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100" w:type="dxa"/>
            <w:vAlign w:val="bottom"/>
            <w:gridSpan w:val="3"/>
          </w:tcPr>
          <w:p>
            <w:pPr>
              <w:jc w:val="center"/>
              <w:ind w:left="1272"/>
              <w:spacing w:after="0" w:line="190" w:lineRule="exact"/>
              <w:rPr>
                <w:sz w:val="20"/>
                <w:szCs w:val="20"/>
                <w:color w:val="auto"/>
              </w:rPr>
            </w:pPr>
            <w:r>
              <w:rPr>
                <w:rFonts w:ascii="Arial" w:cs="Arial" w:eastAsia="Arial" w:hAnsi="Arial"/>
                <w:sz w:val="18"/>
                <w:szCs w:val="18"/>
                <w:color w:val="auto"/>
                <w:w w:val="89"/>
              </w:rPr>
              <w:t>Executive Vice President and Chief Financial Officer</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100" w:type="dxa"/>
            <w:vAlign w:val="bottom"/>
            <w:gridSpan w:val="3"/>
          </w:tcPr>
          <w:p>
            <w:pPr>
              <w:jc w:val="center"/>
              <w:ind w:left="1272"/>
              <w:spacing w:after="0"/>
              <w:rPr>
                <w:sz w:val="20"/>
                <w:szCs w:val="20"/>
                <w:color w:val="auto"/>
              </w:rPr>
            </w:pPr>
            <w:r>
              <w:rPr>
                <w:rFonts w:ascii="Arial" w:cs="Arial" w:eastAsia="Arial" w:hAnsi="Arial"/>
                <w:sz w:val="18"/>
                <w:szCs w:val="18"/>
                <w:color w:val="auto"/>
                <w:w w:val="90"/>
              </w:rPr>
              <w:t>(Principal Financial and Accounting Officer)</w:t>
            </w:r>
          </w:p>
        </w:tc>
        <w:tc>
          <w:tcPr>
            <w:tcW w:w="0" w:type="dxa"/>
            <w:vAlign w:val="bottom"/>
          </w:tcPr>
          <w:p>
            <w:pPr>
              <w:spacing w:after="0"/>
              <w:rPr>
                <w:sz w:val="1"/>
                <w:szCs w:val="1"/>
                <w:color w:val="auto"/>
              </w:rPr>
            </w:pPr>
          </w:p>
        </w:tc>
      </w:tr>
      <w:tr>
        <w:trPr>
          <w:trHeight w:val="446"/>
        </w:trPr>
        <w:tc>
          <w:tcPr>
            <w:tcW w:w="2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Peter S. Burgess*</w:t>
            </w:r>
          </w:p>
        </w:tc>
        <w:tc>
          <w:tcPr>
            <w:tcW w:w="1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100" w:type="dxa"/>
            <w:vAlign w:val="bottom"/>
            <w:gridSpan w:val="3"/>
          </w:tcPr>
          <w:p>
            <w:pPr>
              <w:jc w:val="center"/>
              <w:ind w:left="1272"/>
              <w:spacing w:after="0"/>
              <w:rPr>
                <w:sz w:val="20"/>
                <w:szCs w:val="20"/>
                <w:color w:val="auto"/>
              </w:rPr>
            </w:pPr>
            <w:r>
              <w:rPr>
                <w:rFonts w:ascii="Arial" w:cs="Arial" w:eastAsia="Arial" w:hAnsi="Arial"/>
                <w:sz w:val="18"/>
                <w:szCs w:val="18"/>
                <w:color w:val="auto"/>
                <w:w w:val="83"/>
              </w:rPr>
              <w:t>Peter S. Burgess</w:t>
            </w: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100" w:type="dxa"/>
            <w:vAlign w:val="bottom"/>
            <w:gridSpan w:val="3"/>
          </w:tcPr>
          <w:p>
            <w:pPr>
              <w:jc w:val="center"/>
              <w:ind w:left="1272"/>
              <w:spacing w:after="0" w:line="202" w:lineRule="exact"/>
              <w:rPr>
                <w:sz w:val="20"/>
                <w:szCs w:val="20"/>
                <w:color w:val="auto"/>
              </w:rPr>
            </w:pPr>
            <w:r>
              <w:rPr>
                <w:rFonts w:ascii="Arial" w:cs="Arial" w:eastAsia="Arial" w:hAnsi="Arial"/>
                <w:sz w:val="18"/>
                <w:szCs w:val="18"/>
                <w:color w:val="auto"/>
                <w:w w:val="93"/>
              </w:rPr>
              <w:t>(Director)</w:t>
            </w:r>
          </w:p>
        </w:tc>
        <w:tc>
          <w:tcPr>
            <w:tcW w:w="0" w:type="dxa"/>
            <w:vAlign w:val="bottom"/>
          </w:tcPr>
          <w:p>
            <w:pPr>
              <w:spacing w:after="0"/>
              <w:rPr>
                <w:sz w:val="1"/>
                <w:szCs w:val="1"/>
                <w:color w:val="auto"/>
              </w:rPr>
            </w:pPr>
          </w:p>
        </w:tc>
      </w:tr>
      <w:tr>
        <w:trPr>
          <w:trHeight w:val="439"/>
        </w:trPr>
        <w:tc>
          <w:tcPr>
            <w:tcW w:w="2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T. Foy*</w:t>
            </w:r>
          </w:p>
        </w:tc>
        <w:tc>
          <w:tcPr>
            <w:tcW w:w="1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100" w:type="dxa"/>
            <w:vAlign w:val="bottom"/>
            <w:gridSpan w:val="3"/>
          </w:tcPr>
          <w:p>
            <w:pPr>
              <w:jc w:val="center"/>
              <w:ind w:left="1272"/>
              <w:spacing w:after="0"/>
              <w:rPr>
                <w:sz w:val="20"/>
                <w:szCs w:val="20"/>
                <w:color w:val="auto"/>
              </w:rPr>
            </w:pPr>
            <w:r>
              <w:rPr>
                <w:rFonts w:ascii="Arial" w:cs="Arial" w:eastAsia="Arial" w:hAnsi="Arial"/>
                <w:sz w:val="18"/>
                <w:szCs w:val="18"/>
                <w:color w:val="auto"/>
                <w:w w:val="92"/>
              </w:rPr>
              <w:t>David T. Foy</w:t>
            </w: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100" w:type="dxa"/>
            <w:vAlign w:val="bottom"/>
            <w:gridSpan w:val="3"/>
          </w:tcPr>
          <w:p>
            <w:pPr>
              <w:jc w:val="center"/>
              <w:ind w:left="1272"/>
              <w:spacing w:after="0" w:line="202" w:lineRule="exact"/>
              <w:rPr>
                <w:sz w:val="20"/>
                <w:szCs w:val="20"/>
                <w:color w:val="auto"/>
              </w:rPr>
            </w:pPr>
            <w:r>
              <w:rPr>
                <w:rFonts w:ascii="Arial" w:cs="Arial" w:eastAsia="Arial" w:hAnsi="Arial"/>
                <w:sz w:val="18"/>
                <w:szCs w:val="18"/>
                <w:color w:val="auto"/>
                <w:w w:val="93"/>
              </w:rPr>
              <w:t>(Director)</w:t>
            </w:r>
          </w:p>
        </w:tc>
        <w:tc>
          <w:tcPr>
            <w:tcW w:w="0" w:type="dxa"/>
            <w:vAlign w:val="bottom"/>
          </w:tcPr>
          <w:p>
            <w:pPr>
              <w:spacing w:after="0"/>
              <w:rPr>
                <w:sz w:val="1"/>
                <w:szCs w:val="1"/>
                <w:color w:val="auto"/>
              </w:rPr>
            </w:pPr>
          </w:p>
        </w:tc>
      </w:tr>
      <w:tr>
        <w:trPr>
          <w:trHeight w:val="439"/>
        </w:trPr>
        <w:tc>
          <w:tcPr>
            <w:tcW w:w="2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Lois W. Grady*</w:t>
            </w:r>
          </w:p>
        </w:tc>
        <w:tc>
          <w:tcPr>
            <w:tcW w:w="1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100" w:type="dxa"/>
            <w:vAlign w:val="bottom"/>
            <w:gridSpan w:val="3"/>
          </w:tcPr>
          <w:p>
            <w:pPr>
              <w:jc w:val="center"/>
              <w:ind w:left="1272"/>
              <w:spacing w:after="0"/>
              <w:rPr>
                <w:sz w:val="20"/>
                <w:szCs w:val="20"/>
                <w:color w:val="auto"/>
              </w:rPr>
            </w:pPr>
            <w:r>
              <w:rPr>
                <w:rFonts w:ascii="Arial" w:cs="Arial" w:eastAsia="Arial" w:hAnsi="Arial"/>
                <w:sz w:val="18"/>
                <w:szCs w:val="18"/>
                <w:color w:val="auto"/>
                <w:w w:val="89"/>
              </w:rPr>
              <w:t>Lois W. Grady</w:t>
            </w: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100" w:type="dxa"/>
            <w:vAlign w:val="bottom"/>
            <w:gridSpan w:val="3"/>
          </w:tcPr>
          <w:p>
            <w:pPr>
              <w:jc w:val="center"/>
              <w:ind w:left="1272"/>
              <w:spacing w:after="0" w:line="202" w:lineRule="exact"/>
              <w:rPr>
                <w:sz w:val="20"/>
                <w:szCs w:val="20"/>
                <w:color w:val="auto"/>
              </w:rPr>
            </w:pPr>
            <w:r>
              <w:rPr>
                <w:rFonts w:ascii="Arial" w:cs="Arial" w:eastAsia="Arial" w:hAnsi="Arial"/>
                <w:sz w:val="18"/>
                <w:szCs w:val="18"/>
                <w:color w:val="auto"/>
                <w:w w:val="93"/>
              </w:rPr>
              <w:t>(Director)</w:t>
            </w:r>
          </w:p>
        </w:tc>
        <w:tc>
          <w:tcPr>
            <w:tcW w:w="0" w:type="dxa"/>
            <w:vAlign w:val="bottom"/>
          </w:tcPr>
          <w:p>
            <w:pPr>
              <w:spacing w:after="0"/>
              <w:rPr>
                <w:sz w:val="1"/>
                <w:szCs w:val="1"/>
                <w:color w:val="auto"/>
              </w:rPr>
            </w:pPr>
          </w:p>
        </w:tc>
      </w:tr>
      <w:tr>
        <w:trPr>
          <w:trHeight w:val="439"/>
        </w:trPr>
        <w:tc>
          <w:tcPr>
            <w:tcW w:w="2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Sander M. Levy*</w:t>
            </w:r>
          </w:p>
        </w:tc>
        <w:tc>
          <w:tcPr>
            <w:tcW w:w="1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100" w:type="dxa"/>
            <w:vAlign w:val="bottom"/>
            <w:gridSpan w:val="3"/>
          </w:tcPr>
          <w:p>
            <w:pPr>
              <w:jc w:val="center"/>
              <w:ind w:left="1272"/>
              <w:spacing w:after="0"/>
              <w:rPr>
                <w:sz w:val="20"/>
                <w:szCs w:val="20"/>
                <w:color w:val="auto"/>
              </w:rPr>
            </w:pPr>
            <w:r>
              <w:rPr>
                <w:rFonts w:ascii="Arial" w:cs="Arial" w:eastAsia="Arial" w:hAnsi="Arial"/>
                <w:sz w:val="18"/>
                <w:szCs w:val="18"/>
                <w:color w:val="auto"/>
                <w:w w:val="90"/>
              </w:rPr>
              <w:t>Sander M. Levy</w:t>
            </w: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100" w:type="dxa"/>
            <w:vAlign w:val="bottom"/>
            <w:gridSpan w:val="3"/>
          </w:tcPr>
          <w:p>
            <w:pPr>
              <w:jc w:val="center"/>
              <w:ind w:left="1272"/>
              <w:spacing w:after="0" w:line="202" w:lineRule="exact"/>
              <w:rPr>
                <w:sz w:val="20"/>
                <w:szCs w:val="20"/>
                <w:color w:val="auto"/>
              </w:rPr>
            </w:pPr>
            <w:r>
              <w:rPr>
                <w:rFonts w:ascii="Arial" w:cs="Arial" w:eastAsia="Arial" w:hAnsi="Arial"/>
                <w:sz w:val="18"/>
                <w:szCs w:val="18"/>
                <w:color w:val="auto"/>
                <w:w w:val="93"/>
              </w:rPr>
              <w:t>(Director)</w:t>
            </w:r>
          </w:p>
        </w:tc>
        <w:tc>
          <w:tcPr>
            <w:tcW w:w="0" w:type="dxa"/>
            <w:vAlign w:val="bottom"/>
          </w:tcPr>
          <w:p>
            <w:pPr>
              <w:spacing w:after="0"/>
              <w:rPr>
                <w:sz w:val="1"/>
                <w:szCs w:val="1"/>
                <w:color w:val="auto"/>
              </w:rPr>
            </w:pPr>
          </w:p>
        </w:tc>
      </w:tr>
      <w:tr>
        <w:trPr>
          <w:trHeight w:val="439"/>
        </w:trPr>
        <w:tc>
          <w:tcPr>
            <w:tcW w:w="2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Lowndes A. Smith*</w:t>
            </w:r>
          </w:p>
        </w:tc>
        <w:tc>
          <w:tcPr>
            <w:tcW w:w="1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100" w:type="dxa"/>
            <w:vAlign w:val="bottom"/>
            <w:gridSpan w:val="3"/>
          </w:tcPr>
          <w:p>
            <w:pPr>
              <w:jc w:val="center"/>
              <w:ind w:left="1252"/>
              <w:spacing w:after="0"/>
              <w:rPr>
                <w:sz w:val="20"/>
                <w:szCs w:val="20"/>
                <w:color w:val="auto"/>
              </w:rPr>
            </w:pPr>
            <w:r>
              <w:rPr>
                <w:rFonts w:ascii="Arial" w:cs="Arial" w:eastAsia="Arial" w:hAnsi="Arial"/>
                <w:sz w:val="18"/>
                <w:szCs w:val="18"/>
                <w:color w:val="auto"/>
                <w:w w:val="90"/>
              </w:rPr>
              <w:t>Lowndes A. Smith</w:t>
            </w:r>
          </w:p>
        </w:tc>
        <w:tc>
          <w:tcPr>
            <w:tcW w:w="0" w:type="dxa"/>
            <w:vAlign w:val="bottom"/>
          </w:tcPr>
          <w:p>
            <w:pPr>
              <w:spacing w:after="0"/>
              <w:rPr>
                <w:sz w:val="1"/>
                <w:szCs w:val="1"/>
                <w:color w:val="auto"/>
              </w:rPr>
            </w:pPr>
          </w:p>
        </w:tc>
      </w:tr>
      <w:tr>
        <w:trPr>
          <w:trHeight w:val="202"/>
        </w:trPr>
        <w:tc>
          <w:tcPr>
            <w:tcW w:w="2900" w:type="dxa"/>
            <w:vAlign w:val="bottom"/>
            <w:gridSpan w:val="3"/>
            <w:vMerge w:val="restart"/>
          </w:tcPr>
          <w:p>
            <w:pPr>
              <w:spacing w:after="0"/>
              <w:rPr>
                <w:sz w:val="20"/>
                <w:szCs w:val="20"/>
                <w:color w:val="auto"/>
              </w:rPr>
            </w:pPr>
            <w:r>
              <w:rPr>
                <w:rFonts w:ascii="Arial" w:cs="Arial" w:eastAsia="Arial" w:hAnsi="Arial"/>
                <w:sz w:val="18"/>
                <w:szCs w:val="18"/>
                <w:color w:val="auto"/>
              </w:rPr>
              <w:t>By:  /s/ David S. Goldstein</w:t>
            </w:r>
          </w:p>
        </w:tc>
        <w:tc>
          <w:tcPr>
            <w:tcW w:w="1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100" w:type="dxa"/>
            <w:vAlign w:val="bottom"/>
            <w:gridSpan w:val="3"/>
          </w:tcPr>
          <w:p>
            <w:pPr>
              <w:jc w:val="center"/>
              <w:ind w:left="1272"/>
              <w:spacing w:after="0" w:line="202" w:lineRule="exact"/>
              <w:rPr>
                <w:sz w:val="20"/>
                <w:szCs w:val="20"/>
                <w:color w:val="auto"/>
              </w:rPr>
            </w:pPr>
            <w:r>
              <w:rPr>
                <w:rFonts w:ascii="Arial" w:cs="Arial" w:eastAsia="Arial" w:hAnsi="Arial"/>
                <w:sz w:val="18"/>
                <w:szCs w:val="18"/>
                <w:color w:val="auto"/>
                <w:w w:val="93"/>
              </w:rPr>
              <w:t>(Director)</w:t>
            </w:r>
          </w:p>
        </w:tc>
        <w:tc>
          <w:tcPr>
            <w:tcW w:w="0" w:type="dxa"/>
            <w:vAlign w:val="bottom"/>
          </w:tcPr>
          <w:p>
            <w:pPr>
              <w:spacing w:after="0"/>
              <w:rPr>
                <w:sz w:val="1"/>
                <w:szCs w:val="1"/>
                <w:color w:val="auto"/>
              </w:rPr>
            </w:pPr>
          </w:p>
        </w:tc>
      </w:tr>
      <w:tr>
        <w:trPr>
          <w:trHeight w:val="427"/>
        </w:trPr>
        <w:tc>
          <w:tcPr>
            <w:tcW w:w="2900" w:type="dxa"/>
            <w:vAlign w:val="bottom"/>
            <w:gridSpan w:val="3"/>
            <w:vMerge w:val="continue"/>
          </w:tcPr>
          <w:p>
            <w:pPr>
              <w:spacing w:after="0"/>
              <w:rPr>
                <w:sz w:val="24"/>
                <w:szCs w:val="24"/>
                <w:color w:val="auto"/>
              </w:rPr>
            </w:pP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David S. Goldstein,</w:t>
            </w:r>
          </w:p>
        </w:tc>
        <w:tc>
          <w:tcPr>
            <w:tcW w:w="168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8"/>
                <w:szCs w:val="18"/>
                <w:i w:val="1"/>
                <w:iCs w:val="1"/>
                <w:color w:val="auto"/>
              </w:rPr>
              <w:t>Attorney-in-Fact*</w:t>
            </w:r>
          </w:p>
        </w:tc>
        <w:tc>
          <w:tcPr>
            <w:tcW w:w="1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380" w:type="dxa"/>
            <w:vAlign w:val="bottom"/>
            <w:gridSpan w:val="3"/>
          </w:tcPr>
          <w:p>
            <w:pPr>
              <w:jc w:val="right"/>
              <w:ind w:right="2352"/>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Investments — Other Than Investments in Related Parties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Cost or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Amount as shown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Amortized Cost</w:t>
            </w:r>
          </w:p>
        </w:tc>
        <w:tc>
          <w:tcPr>
            <w:tcW w:w="3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580" w:type="dxa"/>
            <w:vAlign w:val="bottom"/>
          </w:tcPr>
          <w:p>
            <w:pPr>
              <w:spacing w:after="0"/>
              <w:rPr>
                <w:sz w:val="14"/>
                <w:szCs w:val="14"/>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in Balance Sheet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Type of Investment:</w:t>
            </w: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860"/>
              <w:spacing w:after="0"/>
              <w:rPr>
                <w:sz w:val="20"/>
                <w:szCs w:val="20"/>
                <w:color w:val="auto"/>
              </w:rPr>
            </w:pPr>
            <w:r>
              <w:rPr>
                <w:rFonts w:ascii="Arial" w:cs="Arial" w:eastAsia="Arial" w:hAnsi="Arial"/>
                <w:sz w:val="18"/>
                <w:szCs w:val="18"/>
                <w:color w:val="auto"/>
              </w:rPr>
              <w:t>Fixed maturities: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and government agencies and authorities</w:t>
            </w:r>
          </w:p>
        </w:tc>
        <w:tc>
          <w:tcPr>
            <w:tcW w:w="1220" w:type="dxa"/>
            <w:vAlign w:val="bottom"/>
            <w:gridSpan w:val="2"/>
            <w:shd w:val="clear" w:color="auto" w:fill="CCEEFF"/>
          </w:tcPr>
          <w:p>
            <w:pPr>
              <w:ind w:left="104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307.6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311.5</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States, municipalities and political subdivisions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737.9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776.5</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governments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Public utilities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1,605.5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1,849.6</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Convertible bonds and bonds with warrants attached</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75.2</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All other corporate bonds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13,359.4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5"/>
              </w:rPr>
              <w:t>15,011.4</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15,011.4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Mortgage-backed securities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4,707.8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5,182.5</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Redeemable preferred stock</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45.8</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fixed maturities (1)</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20,864.2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23,271.7</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23,271.7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860"/>
              <w:spacing w:after="0"/>
              <w:rPr>
                <w:sz w:val="20"/>
                <w:szCs w:val="20"/>
                <w:color w:val="auto"/>
              </w:rPr>
            </w:pPr>
            <w:r>
              <w:rPr>
                <w:rFonts w:ascii="Arial" w:cs="Arial" w:eastAsia="Arial" w:hAnsi="Arial"/>
                <w:sz w:val="18"/>
                <w:szCs w:val="18"/>
                <w:color w:val="auto"/>
              </w:rPr>
              <w:t>Marketable equity securities: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Public utilities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Banks, trusts, and insurance companies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189.0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218.8</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 miscellaneous, and all other</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195.1</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Nonredeemable preferred stock</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49.1</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marketable equity securities (2)</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439.9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482.2</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420"/>
              <w:spacing w:after="0"/>
              <w:rPr>
                <w:sz w:val="20"/>
                <w:szCs w:val="20"/>
                <w:color w:val="auto"/>
              </w:rPr>
            </w:pPr>
            <w:r>
              <w:rPr>
                <w:rFonts w:ascii="Arial" w:cs="Arial" w:eastAsia="Arial" w:hAnsi="Arial"/>
                <w:sz w:val="18"/>
                <w:szCs w:val="18"/>
                <w:color w:val="auto"/>
              </w:rPr>
              <w:t>Mortgage loans (3)</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3,102.3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3,370.5</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3,094.4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Policy loans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65.8</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420"/>
              <w:spacing w:after="0"/>
              <w:rPr>
                <w:sz w:val="20"/>
                <w:szCs w:val="20"/>
                <w:color w:val="auto"/>
              </w:rPr>
            </w:pPr>
            <w:r>
              <w:rPr>
                <w:rFonts w:ascii="Arial" w:cs="Arial" w:eastAsia="Arial" w:hAnsi="Arial"/>
                <w:sz w:val="18"/>
                <w:szCs w:val="18"/>
                <w:color w:val="auto"/>
              </w:rPr>
              <w:t>Other investments (4)</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258.1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272.6</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274.9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24,730.3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27,462.8</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27,189.</w:t>
            </w:r>
            <w:r>
              <w:rPr>
                <w:rFonts w:ascii="Arial" w:cs="Arial" w:eastAsia="Arial" w:hAnsi="Arial"/>
                <w:sz w:val="18"/>
                <w:szCs w:val="18"/>
                <w:b w:val="1"/>
                <w:bCs w:val="1"/>
                <w:u w:val="single" w:color="auto"/>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20" w:hanging="452"/>
        <w:spacing w:after="0" w:line="286"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The amount shown in the consolidated balance sheet for total fixed maturities differs from the cost and fair value presented above, as the consolidated balance sheet includes affiliated fixed maturities with an amortized cost and fair value of </w:t>
      </w:r>
      <w:r>
        <w:rPr>
          <w:rFonts w:ascii="Arial" w:cs="Arial" w:eastAsia="Arial" w:hAnsi="Arial"/>
          <w:sz w:val="16"/>
          <w:szCs w:val="16"/>
          <w:b w:val="1"/>
          <w:bCs w:val="1"/>
          <w:color w:val="auto"/>
        </w:rPr>
        <w:t>$209.2</w:t>
      </w:r>
      <w:r>
        <w:rPr>
          <w:rFonts w:ascii="Arial" w:cs="Arial" w:eastAsia="Arial" w:hAnsi="Arial"/>
          <w:sz w:val="16"/>
          <w:szCs w:val="16"/>
          <w:color w:val="auto"/>
        </w:rPr>
        <w:t xml:space="preserve"> and $</w:t>
      </w:r>
      <w:r>
        <w:rPr>
          <w:rFonts w:ascii="Arial" w:cs="Arial" w:eastAsia="Arial" w:hAnsi="Arial"/>
          <w:sz w:val="16"/>
          <w:szCs w:val="16"/>
          <w:b w:val="1"/>
          <w:bCs w:val="1"/>
          <w:color w:val="auto"/>
        </w:rPr>
        <w:t>247.3</w:t>
      </w:r>
      <w:r>
        <w:rPr>
          <w:rFonts w:ascii="Arial" w:cs="Arial" w:eastAsia="Arial" w:hAnsi="Arial"/>
          <w:sz w:val="16"/>
          <w:szCs w:val="16"/>
          <w:color w:val="auto"/>
        </w:rPr>
        <w:t>, respectively.</w:t>
      </w:r>
    </w:p>
    <w:p>
      <w:pPr>
        <w:ind w:left="460" w:right="500" w:hanging="452"/>
        <w:spacing w:after="0" w:line="281"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The amount shown in the consolidated balance sheet for total marketable equity securities differs from the cost and fair value presented above, as the consolidated balance sheet includes affiliated marketable equity securities with a cost and fair value of </w:t>
      </w:r>
      <w:r>
        <w:rPr>
          <w:rFonts w:ascii="Arial" w:cs="Arial" w:eastAsia="Arial" w:hAnsi="Arial"/>
          <w:sz w:val="16"/>
          <w:szCs w:val="16"/>
          <w:b w:val="1"/>
          <w:bCs w:val="1"/>
          <w:color w:val="auto"/>
        </w:rPr>
        <w:t>$110.3</w:t>
      </w:r>
      <w:r>
        <w:rPr>
          <w:rFonts w:ascii="Arial" w:cs="Arial" w:eastAsia="Arial" w:hAnsi="Arial"/>
          <w:sz w:val="16"/>
          <w:szCs w:val="16"/>
          <w:color w:val="auto"/>
        </w:rPr>
        <w:t xml:space="preserve"> and </w:t>
      </w:r>
      <w:r>
        <w:rPr>
          <w:rFonts w:ascii="Arial" w:cs="Arial" w:eastAsia="Arial" w:hAnsi="Arial"/>
          <w:sz w:val="16"/>
          <w:szCs w:val="16"/>
          <w:b w:val="1"/>
          <w:bCs w:val="1"/>
          <w:color w:val="auto"/>
        </w:rPr>
        <w:t>$120.1</w:t>
      </w:r>
      <w:r>
        <w:rPr>
          <w:rFonts w:ascii="Arial" w:cs="Arial" w:eastAsia="Arial" w:hAnsi="Arial"/>
          <w:sz w:val="16"/>
          <w:szCs w:val="16"/>
          <w:color w:val="auto"/>
        </w:rPr>
        <w:t>, respectively.</w:t>
      </w:r>
    </w:p>
    <w:p>
      <w:pPr>
        <w:spacing w:after="0" w:line="1"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amount shown in the consolidated balance sheet for mortgage loans differs from the cost presented above, as the amount in the consolidated balance sheet is presented net of a </w:t>
      </w:r>
      <w:r>
        <w:rPr>
          <w:rFonts w:ascii="Arial" w:cs="Arial" w:eastAsia="Arial" w:hAnsi="Arial"/>
          <w:sz w:val="18"/>
          <w:szCs w:val="18"/>
          <w:b w:val="1"/>
          <w:bCs w:val="1"/>
          <w:color w:val="auto"/>
        </w:rPr>
        <w:t>$7.9</w:t>
      </w:r>
      <w:r>
        <w:rPr>
          <w:rFonts w:ascii="Arial" w:cs="Arial" w:eastAsia="Arial" w:hAnsi="Arial"/>
          <w:sz w:val="18"/>
          <w:szCs w:val="18"/>
          <w:color w:val="auto"/>
        </w:rPr>
        <w:t xml:space="preserve"> allowance for loan losses.</w:t>
      </w:r>
    </w:p>
    <w:p>
      <w:pPr>
        <w:ind w:left="460" w:right="660" w:hanging="452"/>
        <w:spacing w:after="0" w:line="261"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amount shown in the consolidated balance sheet for other investments differs from the fair value presented above, as the Company’s tax credit investments are presented at amortized cost in the consolidated balance sheet.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gridSpan w:val="6"/>
          </w:tcPr>
          <w:p>
            <w:pPr>
              <w:ind w:left="3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jc w:val="center"/>
              <w:ind w:left="1792"/>
              <w:spacing w:after="0"/>
              <w:rPr>
                <w:sz w:val="20"/>
                <w:szCs w:val="20"/>
                <w:color w:val="auto"/>
              </w:rPr>
            </w:pPr>
            <w:r>
              <w:rPr>
                <w:rFonts w:ascii="Arial" w:cs="Arial" w:eastAsia="Arial" w:hAnsi="Arial"/>
                <w:sz w:val="18"/>
                <w:szCs w:val="18"/>
                <w:b w:val="1"/>
                <w:bCs w:val="1"/>
                <w:color w:val="auto"/>
                <w:w w:val="91"/>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Cash and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Investments, at fair value (cost or amortized cost: </w:t>
            </w:r>
            <w:r>
              <w:rPr>
                <w:rFonts w:ascii="Arial" w:cs="Arial" w:eastAsia="Arial" w:hAnsi="Arial"/>
                <w:sz w:val="18"/>
                <w:szCs w:val="18"/>
                <w:b w:val="1"/>
                <w:bCs w:val="1"/>
                <w:color w:val="auto"/>
              </w:rPr>
              <w:t>$108.4</w:t>
            </w:r>
            <w:r>
              <w:rPr>
                <w:rFonts w:ascii="Arial" w:cs="Arial" w:eastAsia="Arial" w:hAnsi="Arial"/>
                <w:sz w:val="18"/>
                <w:szCs w:val="18"/>
                <w:color w:val="auto"/>
              </w:rPr>
              <w:t xml:space="preserve"> and $123.0 , respectively)</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109.0</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Investments in subsidiaries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6"/>
              </w:rPr>
              <w:t>3,951.2</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3,409.3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40" w:type="dxa"/>
            <w:vAlign w:val="bottom"/>
            <w:gridSpan w:val="2"/>
          </w:tcPr>
          <w:p>
            <w:pPr>
              <w:spacing w:after="0"/>
              <w:rPr>
                <w:sz w:val="20"/>
                <w:szCs w:val="20"/>
                <w:color w:val="auto"/>
              </w:rPr>
            </w:pPr>
            <w:r>
              <w:rPr>
                <w:rFonts w:ascii="Arial" w:cs="Arial" w:eastAsia="Arial" w:hAnsi="Arial"/>
                <w:sz w:val="18"/>
                <w:szCs w:val="18"/>
                <w:color w:val="auto"/>
              </w:rPr>
              <w:t>Total cash and investments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4,062.5</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3,541.6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Current and deferred income tax receivables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Receivables due from affiliates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6"/>
              </w:rPr>
              <w:t>4,100.1</w:t>
            </w:r>
          </w:p>
        </w:tc>
        <w:tc>
          <w:tcPr>
            <w:tcW w:w="20" w:type="dxa"/>
            <w:vAlign w:val="bottom"/>
          </w:tcPr>
          <w:p>
            <w:pPr>
              <w:spacing w:after="0"/>
              <w:rPr>
                <w:sz w:val="19"/>
                <w:szCs w:val="19"/>
                <w:color w:val="auto"/>
              </w:rPr>
            </w:pP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3,584.0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20" w:type="dxa"/>
            <w:vAlign w:val="bottom"/>
            <w:shd w:val="clear" w:color="auto" w:fill="CCEEFF"/>
          </w:tcPr>
          <w:p>
            <w:pPr>
              <w:jc w:val="center"/>
              <w:ind w:left="1792"/>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Notes payable</w:t>
            </w:r>
          </w:p>
        </w:tc>
        <w:tc>
          <w:tcPr>
            <w:tcW w:w="8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449.4</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470.0</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w w:val="90"/>
              </w:rPr>
              <w:t xml:space="preserve">Common stock, $0.01 par value, 750,000,000 shares authorized; </w:t>
            </w:r>
            <w:r>
              <w:rPr>
                <w:rFonts w:ascii="Arial" w:cs="Arial" w:eastAsia="Arial" w:hAnsi="Arial"/>
                <w:sz w:val="18"/>
                <w:szCs w:val="18"/>
                <w:b w:val="1"/>
                <w:bCs w:val="1"/>
                <w:color w:val="auto"/>
                <w:w w:val="90"/>
              </w:rPr>
              <w:t>119,087,677</w:t>
            </w:r>
            <w:r>
              <w:rPr>
                <w:rFonts w:ascii="Arial" w:cs="Arial" w:eastAsia="Arial" w:hAnsi="Arial"/>
                <w:sz w:val="18"/>
                <w:szCs w:val="18"/>
                <w:color w:val="auto"/>
                <w:w w:val="90"/>
              </w:rPr>
              <w:t xml:space="preserve"> shares issued and outstanding as of December 31,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2012 and 118,637,379 issued and outstanding as of December 31, 2011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6"/>
              </w:rPr>
              <w:t>1,459.3</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1,454.6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798.4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Accumulated other comprehensive income, net of taxes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1,371.2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1,027.3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3,630.1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3,114.9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6"/>
              </w:rPr>
              <w:t>4,100.1</w:t>
            </w:r>
          </w:p>
        </w:tc>
        <w:tc>
          <w:tcPr>
            <w:tcW w:w="20" w:type="dxa"/>
            <w:vAlign w:val="bottom"/>
          </w:tcPr>
          <w:p>
            <w:pPr>
              <w:spacing w:after="0"/>
              <w:rPr>
                <w:sz w:val="19"/>
                <w:szCs w:val="19"/>
                <w:color w:val="auto"/>
              </w:rPr>
            </w:pP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3,584.0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6"/>
              </w:rPr>
              <w:t>Years Ended December 31,</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2012</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(As adjusted)</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(As adjusted)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Dividends from subsidiaries: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Symetra Life Insurance Company</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80.0</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52.0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Other subsidiaries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investment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vMerge w:val="restart"/>
          </w:tcPr>
          <w:p>
            <w:pPr>
              <w:ind w:left="420"/>
              <w:spacing w:after="0"/>
              <w:rPr>
                <w:sz w:val="20"/>
                <w:szCs w:val="20"/>
                <w:color w:val="auto"/>
              </w:rPr>
            </w:pPr>
            <w:r>
              <w:rPr>
                <w:rFonts w:ascii="Arial" w:cs="Arial" w:eastAsia="Arial" w:hAnsi="Arial"/>
                <w:sz w:val="18"/>
                <w:szCs w:val="18"/>
                <w:color w:val="auto"/>
              </w:rPr>
              <w:t>Net realized investment gains (losses)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2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98.5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67.4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32.8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35.0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35.7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Income from operations before income taxes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63.5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Income before equity in undistributed net income of subsidiaries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70.9</w:t>
            </w:r>
          </w:p>
        </w:tc>
        <w:tc>
          <w:tcPr>
            <w:tcW w:w="2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Equity in undistributed net income of subsidiaries: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Symetra Life Insurance Company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4"/>
              </w:rPr>
              <w:t>131.0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146.9</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subsidiaries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Total equity in undistributed net income of subsidiaries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134.5</w:t>
            </w:r>
          </w:p>
        </w:tc>
        <w:tc>
          <w:tcPr>
            <w:tcW w:w="2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154.4</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4"/>
              </w:rPr>
              <w:t>205.4</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195.8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net of taxes:</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 xml:space="preserve">Changes in unrealized gains (losses) on available-for-sale securities (net of taxes of </w:t>
            </w:r>
            <w:r>
              <w:rPr>
                <w:rFonts w:ascii="Arial" w:cs="Arial" w:eastAsia="Arial" w:hAnsi="Arial"/>
                <w:sz w:val="18"/>
                <w:szCs w:val="18"/>
                <w:b w:val="1"/>
                <w:bCs w:val="1"/>
                <w:color w:val="auto"/>
                <w:w w:val="92"/>
              </w:rPr>
              <w:t>$(1.6)</w:t>
            </w:r>
            <w:r>
              <w:rPr>
                <w:rFonts w:ascii="Arial" w:cs="Arial" w:eastAsia="Arial" w:hAnsi="Arial"/>
                <w:sz w:val="18"/>
                <w:szCs w:val="18"/>
                <w:color w:val="auto"/>
                <w:w w:val="92"/>
              </w:rPr>
              <w:t>, $2.8</w:t>
            </w:r>
          </w:p>
        </w:tc>
        <w:tc>
          <w:tcPr>
            <w:tcW w:w="4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$(0.4))</w:t>
            </w:r>
          </w:p>
        </w:tc>
        <w:tc>
          <w:tcPr>
            <w:tcW w:w="440" w:type="dxa"/>
            <w:vAlign w:val="bottom"/>
            <w:gridSpan w:val="2"/>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 xml:space="preserve">Impact of cash flow hedges (net of taxes of </w:t>
            </w:r>
            <w:r>
              <w:rPr>
                <w:rFonts w:ascii="Arial" w:cs="Arial" w:eastAsia="Arial" w:hAnsi="Arial"/>
                <w:sz w:val="18"/>
                <w:szCs w:val="18"/>
                <w:b w:val="1"/>
                <w:bCs w:val="1"/>
                <w:color w:val="auto"/>
              </w:rPr>
              <w:t>$0.0</w:t>
            </w:r>
            <w:r>
              <w:rPr>
                <w:rFonts w:ascii="Arial" w:cs="Arial" w:eastAsia="Arial" w:hAnsi="Arial"/>
                <w:sz w:val="18"/>
                <w:szCs w:val="18"/>
                <w:color w:val="auto"/>
              </w:rPr>
              <w:t>, 0.0 and 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Other comprehensive income of subsidiaries (net of taxes of </w:t>
            </w:r>
            <w:r>
              <w:rPr>
                <w:rFonts w:ascii="Arial" w:cs="Arial" w:eastAsia="Arial" w:hAnsi="Arial"/>
                <w:sz w:val="18"/>
                <w:szCs w:val="18"/>
                <w:b w:val="1"/>
                <w:bCs w:val="1"/>
                <w:color w:val="auto"/>
              </w:rPr>
              <w:t>$186.7</w:t>
            </w:r>
            <w:r>
              <w:rPr>
                <w:rFonts w:ascii="Arial" w:cs="Arial" w:eastAsia="Arial" w:hAnsi="Arial"/>
                <w:sz w:val="18"/>
                <w:szCs w:val="18"/>
                <w:color w:val="auto"/>
              </w:rPr>
              <w:t>, $314.7, $261.6)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4"/>
              </w:rPr>
              <w:t>346.8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584.4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485.9</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343.9</w:t>
            </w:r>
          </w:p>
        </w:tc>
        <w:tc>
          <w:tcPr>
            <w:tcW w:w="2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589.7</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485.2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4"/>
              </w:rPr>
              <w:t>549.3</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785.5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5"/>
              </w:rPr>
              <w:t>Years Ended December 31,</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2012</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7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(As adjusted)</w:t>
            </w:r>
          </w:p>
        </w:tc>
        <w:tc>
          <w:tcPr>
            <w:tcW w:w="70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205.4</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195.8</w:t>
            </w:r>
          </w:p>
        </w:tc>
        <w:tc>
          <w:tcPr>
            <w:tcW w:w="7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Adjustments to reconcile net income to net cash provided by (used in) operating activities: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860"/>
              <w:spacing w:after="0"/>
              <w:rPr>
                <w:sz w:val="20"/>
                <w:szCs w:val="20"/>
                <w:color w:val="auto"/>
              </w:rPr>
            </w:pPr>
            <w:r>
              <w:rPr>
                <w:rFonts w:ascii="Arial" w:cs="Arial" w:eastAsia="Arial" w:hAnsi="Arial"/>
                <w:sz w:val="18"/>
                <w:szCs w:val="18"/>
                <w:color w:val="auto"/>
              </w:rPr>
              <w:t>Equity in undistributed net income of subsidiaries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(134.5)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(154.4)</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realized investment (gains) losses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860"/>
              <w:spacing w:after="0"/>
              <w:rPr>
                <w:sz w:val="20"/>
                <w:szCs w:val="20"/>
                <w:color w:val="auto"/>
              </w:rPr>
            </w:pPr>
            <w:r>
              <w:rPr>
                <w:rFonts w:ascii="Arial" w:cs="Arial" w:eastAsia="Arial" w:hAnsi="Arial"/>
                <w:sz w:val="18"/>
                <w:szCs w:val="18"/>
                <w:color w:val="auto"/>
              </w:rPr>
              <w:t>Changes in accrued items and other adjustments, net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adjustments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7"/>
              </w:rPr>
              <w:t>(141.4)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(161.5)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22"/>
        </w:trPr>
        <w:tc>
          <w:tcPr>
            <w:tcW w:w="7300" w:type="dxa"/>
            <w:vAlign w:val="bottom"/>
            <w:gridSpan w:val="2"/>
          </w:tcPr>
          <w:p>
            <w:pPr>
              <w:spacing w:after="0"/>
              <w:rPr>
                <w:sz w:val="20"/>
                <w:szCs w:val="20"/>
                <w:color w:val="auto"/>
              </w:rPr>
            </w:pPr>
            <w:r>
              <w:rPr>
                <w:rFonts w:ascii="Arial" w:cs="Arial" w:eastAsia="Arial" w:hAnsi="Arial"/>
                <w:sz w:val="18"/>
                <w:szCs w:val="18"/>
                <w:color w:val="auto"/>
              </w:rPr>
              <w:t>Net cash provided by (used in) operating activities</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64.0</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7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Purchases of investments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(131.9)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Maturities, calls, paydowns and other</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Sales of investments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157.6</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Return of capital (capital contributed)</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(52.8)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Acquisitions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(29.0)</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7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Net proceeds from issuance of common stock</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 paid on common stock</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(38.8)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(37.1)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restart"/>
          </w:tcPr>
          <w:p>
            <w:pPr>
              <w:ind w:left="420"/>
              <w:spacing w:after="0"/>
              <w:rPr>
                <w:sz w:val="20"/>
                <w:szCs w:val="20"/>
                <w:color w:val="auto"/>
              </w:rPr>
            </w:pPr>
            <w:r>
              <w:rPr>
                <w:rFonts w:ascii="Arial" w:cs="Arial" w:eastAsia="Arial" w:hAnsi="Arial"/>
                <w:sz w:val="18"/>
                <w:szCs w:val="18"/>
                <w:color w:val="auto"/>
              </w:rPr>
              <w:t>Net increase (decrease) in cash and cash equivalents</w:t>
            </w: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24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 at beginning of period</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5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00" w:type="dxa"/>
            <w:vAlign w:val="bottom"/>
            <w:gridSpan w:val="2"/>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40" w:type="dxa"/>
            <w:vAlign w:val="bottom"/>
            <w:vMerge w:val="continue"/>
          </w:tcPr>
          <w:p>
            <w:pPr>
              <w:spacing w:after="0"/>
              <w:rPr>
                <w:sz w:val="19"/>
                <w:szCs w:val="19"/>
                <w:color w:val="auto"/>
              </w:rPr>
            </w:pP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7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cash paid (received) during the year for:</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31.5</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(6.1)</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Presentation</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accompanying condensed financial statements present the financial position, results of operations and cash flows for Symetra Financial Corporation (the “Parent Company”). These condensed unconsolidated financial statements should be read in conjunction with the consolidated financial statements of Symetra Financial Corporation and its subsidiaries and the notes thereto (the “Consolidated Financial Statements”). Investments in subsidiaries are accounted for using the equity method of accounting.</w:t>
      </w:r>
    </w:p>
    <w:p>
      <w:pPr>
        <w:spacing w:after="0" w:line="143"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Additional information about the Parent Company’s accounting policies pertaining to investments and other significant areas, notes payable and commitments and contingencies are as set forth in Notes 2, 12 and 14, respectively, to the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Related Parties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received cash dividends of $85.8, $60.5 and $46.5 from its subsidiaries for the years ended December 31, 2012, 2011 and 2010, respectively.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60" w:type="dxa"/>
            <w:vAlign w:val="bottom"/>
            <w:gridSpan w:val="3"/>
          </w:tcPr>
          <w:p>
            <w:pPr>
              <w:ind w:left="46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50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660" w:type="dxa"/>
            <w:vAlign w:val="bottom"/>
          </w:tcPr>
          <w:p>
            <w:pPr>
              <w:spacing w:after="0"/>
              <w:rPr>
                <w:sz w:val="14"/>
                <w:szCs w:val="14"/>
                <w:color w:val="auto"/>
              </w:rPr>
            </w:pPr>
          </w:p>
        </w:tc>
      </w:tr>
      <w:tr>
        <w:trPr>
          <w:trHeight w:val="201"/>
        </w:trPr>
        <w:tc>
          <w:tcPr>
            <w:tcW w:w="520" w:type="dxa"/>
            <w:vAlign w:val="bottom"/>
          </w:tcPr>
          <w:p>
            <w:pPr>
              <w:jc w:val="right"/>
              <w:ind w:right="14"/>
              <w:spacing w:after="0" w:line="201" w:lineRule="exact"/>
              <w:rPr>
                <w:sz w:val="20"/>
                <w:szCs w:val="20"/>
                <w:color w:val="auto"/>
              </w:rPr>
            </w:pPr>
            <w:r>
              <w:rPr>
                <w:rFonts w:ascii="Arial" w:cs="Arial" w:eastAsia="Arial" w:hAnsi="Arial"/>
                <w:sz w:val="18"/>
                <w:szCs w:val="18"/>
                <w:color w:val="auto"/>
              </w:rPr>
              <w:t>3.1</w:t>
            </w:r>
          </w:p>
        </w:tc>
        <w:tc>
          <w:tcPr>
            <w:tcW w:w="10860" w:type="dxa"/>
            <w:vAlign w:val="bottom"/>
            <w:gridSpan w:val="3"/>
          </w:tcPr>
          <w:p>
            <w:pPr>
              <w:ind w:left="780"/>
              <w:spacing w:after="0" w:line="201" w:lineRule="exact"/>
              <w:rPr>
                <w:sz w:val="20"/>
                <w:szCs w:val="20"/>
                <w:color w:val="auto"/>
              </w:rPr>
            </w:pPr>
            <w:r>
              <w:rPr>
                <w:rFonts w:ascii="Arial" w:cs="Arial" w:eastAsia="Arial" w:hAnsi="Arial"/>
                <w:sz w:val="18"/>
                <w:szCs w:val="18"/>
                <w:color w:val="auto"/>
                <w:w w:val="91"/>
              </w:rPr>
              <w:t>Amended and Restated Certificate of Incorporation of Symetra Financial Corporation (incorporated by reference to Exhibit 3.1 of Form S-1</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rPr>
              <w:t>(Registration No. 333-162344) filed on October 5, 2009)</w:t>
            </w:r>
          </w:p>
        </w:tc>
      </w:tr>
      <w:tr>
        <w:trPr>
          <w:trHeight w:val="318"/>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w w:val="91"/>
              </w:rPr>
              <w:t>Form of Bylaws of Symetra Financial Corporation (incorporated by reference to Exhibit 3.2 of Form S-1 (Registration No. 333-162344) filed</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rPr>
              <w:t>on October 5, 2009)</w:t>
            </w:r>
          </w:p>
        </w:tc>
      </w:tr>
      <w:tr>
        <w:trPr>
          <w:trHeight w:val="318"/>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w w:val="93"/>
              </w:rPr>
              <w:t>Specimen Common Stock Certificate (incorporated by reference to Exhibit 4.1 of Amendment No. 3 to Form S-1 (Registration No. 333-</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rPr>
              <w:t>162344) filed on December 12, 2009)</w:t>
            </w:r>
          </w:p>
        </w:tc>
      </w:tr>
      <w:tr>
        <w:trPr>
          <w:trHeight w:val="318"/>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w w:val="94"/>
              </w:rPr>
              <w:t>Fiscal Agency Agreement between Symetra Financial Corporation and U.S. Bank, dated March 30, 2006 (incorporated by reference to</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rPr>
              <w:t>Exhibit 4.2 of Form S-1 (Registration No. 333-162344) filed on October 5, 2009)</w:t>
            </w:r>
          </w:p>
        </w:tc>
      </w:tr>
      <w:tr>
        <w:trPr>
          <w:trHeight w:val="318"/>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w w:val="93"/>
              </w:rPr>
              <w:t>Warrant Certificate — General Reinsurance Corporation, dated October 26, 2007 (incorporated by reference to Exhibit 4.3 of Form S-1</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rPr>
              <w:t>(Registration No. 333-162344) filed on October 5, 2009)</w:t>
            </w:r>
          </w:p>
        </w:tc>
      </w:tr>
      <w:tr>
        <w:trPr>
          <w:trHeight w:val="324"/>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rPr>
              <w:t>Warrant Certificate — SYA (NL) B.V., dated January 25, 2012 *</w:t>
            </w:r>
          </w:p>
        </w:tc>
      </w:tr>
      <w:tr>
        <w:trPr>
          <w:trHeight w:val="318"/>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w w:val="89"/>
              </w:rPr>
              <w:t>Credit Agreement among Symetra Financial Corporation, the lenders party thereto and JPMorgan Chase Bank, N.A., as administrative agent,</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rPr>
              <w:t>dated as of December 14, 2011 (incorporated by reference to Exhibit 10.1 of Form 8-K filed on December 16, 2011)</w:t>
            </w:r>
          </w:p>
        </w:tc>
      </w:tr>
      <w:tr>
        <w:trPr>
          <w:trHeight w:val="318"/>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w w:val="93"/>
              </w:rPr>
              <w:t>Purchase Agreement between Symetra Financial Corporation and the purchasers listed therein, dated October 4, 2007 (incorporated by</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rPr>
              <w:t>reference to Exhibit 4.6 of Form S-1 (Registration No. 333-162344) filed on October 5, 2009)</w:t>
            </w:r>
          </w:p>
        </w:tc>
      </w:tr>
      <w:tr>
        <w:trPr>
          <w:trHeight w:val="318"/>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4.7</w:t>
            </w: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w w:val="89"/>
              </w:rPr>
              <w:t>Indenture between Symetra Financial Corporation and U.S. Bank National Association, as trustee, dated as of October 10, 2007 (incorporated</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rPr>
              <w:t>by reference to Exhibit 4.7 of Form S-1 (Registration No. 333-162344) filed on October 5, 2009)</w:t>
            </w:r>
          </w:p>
        </w:tc>
      </w:tr>
      <w:tr>
        <w:trPr>
          <w:trHeight w:val="318"/>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9.1</w:t>
            </w: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w w:val="90"/>
              </w:rPr>
              <w:t>Shareholders’ Agreement among Occum Acquisition Corp. and the persons listed on the signature pages thereto, dated as of March 8, 2004</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rPr>
              <w:t>(incorporated by reference to Exhibit 9.1 of Form S-1 (Registration No. 333-162344) filed on October 5, 2009)</w:t>
            </w:r>
          </w:p>
        </w:tc>
      </w:tr>
      <w:tr>
        <w:trPr>
          <w:trHeight w:val="318"/>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9.2</w:t>
            </w: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w w:val="89"/>
              </w:rPr>
              <w:t>Shareholders’ Agreement among Occum Acquisition Corp. and the persons listed on the signature pages thereto, dated as of March 19, 2004</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rPr>
              <w:t>(incorporated by reference to Exhibit 9.2 of Form S-1 (Registration No. 333-162344) filed on October 5, 2009)</w:t>
            </w:r>
          </w:p>
        </w:tc>
      </w:tr>
      <w:tr>
        <w:trPr>
          <w:trHeight w:val="318"/>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9.3</w:t>
            </w: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w w:val="90"/>
              </w:rPr>
              <w:t>Shareholders’ Agreement among Occum Acquisition Corp. and the persons listed on the signature pages thereto, dated as of April 16, 2004</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rPr>
              <w:t>(incorporated by reference to Exhibit 9.3 of Form S-1 (Registration No. 333-162344) filed on October 5, 2009)</w:t>
            </w:r>
          </w:p>
        </w:tc>
      </w:tr>
      <w:tr>
        <w:trPr>
          <w:trHeight w:val="318"/>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10.1</w:t>
            </w: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w w:val="95"/>
              </w:rPr>
              <w:t>Master Services Agreement between Affiliated Computer Services, Inc. and Symetra Life Insurance Company, dated August 1, 2009</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w w:val="93"/>
              </w:rPr>
              <w:t>(incorporated by reference to Exhibit 10.1 of Amendment No. 1 to Form S-1 (Registration No. 333-162344) filed on October 26, 2009)††</w:t>
            </w:r>
          </w:p>
        </w:tc>
      </w:tr>
      <w:tr>
        <w:trPr>
          <w:trHeight w:val="318"/>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w w:val="90"/>
              </w:rPr>
              <w:t>Amendment No. 1 to Master Services Agreement by and between Symetra Life Insurance Company and Affiliated Computer Services, Inc.,</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rPr>
              <w:t>dated August 1, 2009 (incorporated by reference to Exhibit 10.1 of Form 10-Q filed on August 12, 2010)††</w:t>
            </w:r>
          </w:p>
        </w:tc>
      </w:tr>
      <w:tr>
        <w:trPr>
          <w:trHeight w:val="318"/>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10.3</w:t>
            </w: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w w:val="90"/>
              </w:rPr>
              <w:t>Amendment No. 2 to Master Services Agreement by and between Symetra Life Insurance Company and Affiliated Computer Services, Inc.,</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rPr>
              <w:t>dated August 1, 2009 (incorporated by reference to Exhibit 10.3 of Form 10-K filed on March 16, 2011)††</w:t>
            </w:r>
          </w:p>
        </w:tc>
      </w:tr>
      <w:tr>
        <w:trPr>
          <w:trHeight w:val="318"/>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10.4</w:t>
            </w: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w w:val="88"/>
              </w:rPr>
              <w:t>Amendment No. 3 dated September 6, 2012 to the Master Services Agreement dated August 1, 2009 among Symetra Life Insurance Company</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w w:val="90"/>
              </w:rPr>
              <w:t>and Xerox Business Services, LLC (formerly Affiliated Computer Services, Inc.) (incorporated by reference to Exhibit 10.2 of Form 10-Q filed</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Arial" w:cs="Arial" w:eastAsia="Arial" w:hAnsi="Arial"/>
                <w:sz w:val="18"/>
                <w:szCs w:val="18"/>
                <w:color w:val="auto"/>
              </w:rPr>
              <w:t>on November 7, 2012)††</w:t>
            </w:r>
          </w:p>
        </w:tc>
      </w:tr>
      <w:tr>
        <w:trPr>
          <w:trHeight w:val="365"/>
        </w:trPr>
        <w:tc>
          <w:tcPr>
            <w:tcW w:w="520" w:type="dxa"/>
            <w:vAlign w:val="bottom"/>
          </w:tcPr>
          <w:p>
            <w:pPr>
              <w:spacing w:after="0"/>
              <w:rPr>
                <w:sz w:val="24"/>
                <w:szCs w:val="24"/>
                <w:color w:val="auto"/>
              </w:rPr>
            </w:pPr>
          </w:p>
        </w:tc>
        <w:tc>
          <w:tcPr>
            <w:tcW w:w="5500" w:type="dxa"/>
            <w:vAlign w:val="bottom"/>
          </w:tcPr>
          <w:p>
            <w:pPr>
              <w:ind w:left="5060"/>
              <w:spacing w:after="0"/>
              <w:rPr>
                <w:sz w:val="20"/>
                <w:szCs w:val="20"/>
                <w:color w:val="auto"/>
              </w:rPr>
            </w:pPr>
            <w:r>
              <w:rPr>
                <w:rFonts w:ascii="Arial" w:cs="Arial" w:eastAsia="Arial" w:hAnsi="Arial"/>
                <w:sz w:val="18"/>
                <w:szCs w:val="18"/>
                <w:color w:val="auto"/>
              </w:rPr>
              <w:t>183</w:t>
            </w:r>
          </w:p>
        </w:tc>
        <w:tc>
          <w:tcPr>
            <w:tcW w:w="70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ectPr>
          <w:pgSz w:w="11900" w:h="16838" w:orient="portrait"/>
          <w:cols w:equalWidth="0" w:num="1">
            <w:col w:w="11380"/>
          </w:cols>
          <w:pgMar w:left="240" w:top="460" w:right="2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10.5</w:t>
            </w:r>
          </w:p>
        </w:tc>
        <w:tc>
          <w:tcPr>
            <w:tcW w:w="10520" w:type="dxa"/>
            <w:vAlign w:val="bottom"/>
          </w:tcPr>
          <w:p>
            <w:pPr>
              <w:ind w:left="280"/>
              <w:spacing w:after="0"/>
              <w:rPr>
                <w:sz w:val="20"/>
                <w:szCs w:val="20"/>
                <w:color w:val="auto"/>
              </w:rPr>
            </w:pPr>
            <w:r>
              <w:rPr>
                <w:rFonts w:ascii="Arial" w:cs="Arial" w:eastAsia="Arial" w:hAnsi="Arial"/>
                <w:sz w:val="18"/>
                <w:szCs w:val="18"/>
                <w:color w:val="auto"/>
                <w:w w:val="89"/>
              </w:rPr>
              <w:t>Coinsurance Reinsurance Agreement, dated as of January 1, 1998 (the “RGA Agreement”), between Safeco Life Insurance Company and RGA</w:t>
            </w:r>
          </w:p>
        </w:tc>
      </w:tr>
      <w:tr>
        <w:trPr>
          <w:trHeight w:val="216"/>
        </w:trPr>
        <w:tc>
          <w:tcPr>
            <w:tcW w:w="68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90"/>
              </w:rPr>
              <w:t>Reinsurance Company (including the two Amendments to the RGA Agreement dated as of June 19, 2002, Amendment to the RGA Agreement</w:t>
            </w:r>
          </w:p>
        </w:tc>
      </w:tr>
      <w:tr>
        <w:trPr>
          <w:trHeight w:val="216"/>
        </w:trPr>
        <w:tc>
          <w:tcPr>
            <w:tcW w:w="68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89"/>
              </w:rPr>
              <w:t>dated as of September 23, 2002 and Addendum to the RGA Agreement dated as of August 12, 2003) (incorporated by reference to Exhibit 10.2</w:t>
            </w:r>
          </w:p>
        </w:tc>
      </w:tr>
      <w:tr>
        <w:trPr>
          <w:trHeight w:val="222"/>
        </w:trPr>
        <w:tc>
          <w:tcPr>
            <w:tcW w:w="68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of Amendment No. 1 to Form S-1 (Registration No. 333-162344) filed on October 26, 2009)††</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10.6</w:t>
            </w:r>
          </w:p>
        </w:tc>
        <w:tc>
          <w:tcPr>
            <w:tcW w:w="10520" w:type="dxa"/>
            <w:vAlign w:val="bottom"/>
          </w:tcPr>
          <w:p>
            <w:pPr>
              <w:ind w:left="280"/>
              <w:spacing w:after="0"/>
              <w:rPr>
                <w:sz w:val="20"/>
                <w:szCs w:val="20"/>
                <w:color w:val="auto"/>
              </w:rPr>
            </w:pPr>
            <w:r>
              <w:rPr>
                <w:rFonts w:ascii="Arial" w:cs="Arial" w:eastAsia="Arial" w:hAnsi="Arial"/>
                <w:sz w:val="18"/>
                <w:szCs w:val="18"/>
                <w:color w:val="auto"/>
                <w:w w:val="88"/>
              </w:rPr>
              <w:t>Group Short Term Disability Reinsurance Agreement, dated as of January 1, 1999 (the “Short Term Agreement”), between Safeco Life Insurance</w:t>
            </w:r>
          </w:p>
        </w:tc>
      </w:tr>
      <w:tr>
        <w:trPr>
          <w:trHeight w:val="216"/>
        </w:trPr>
        <w:tc>
          <w:tcPr>
            <w:tcW w:w="68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92"/>
              </w:rPr>
              <w:t>Company and Reliance Standard Life Insurance Company, doing business as Custom Disability Solutions, successor to Duncanson &amp; Holt</w:t>
            </w:r>
          </w:p>
        </w:tc>
      </w:tr>
      <w:tr>
        <w:trPr>
          <w:trHeight w:val="216"/>
        </w:trPr>
        <w:tc>
          <w:tcPr>
            <w:tcW w:w="68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92"/>
              </w:rPr>
              <w:t>Services, Inc. (including Amendment No. 1 to the Short Term Agreement dated as of July 1, 2006 and Amendment No. 2 to the Short Term</w:t>
            </w:r>
          </w:p>
        </w:tc>
      </w:tr>
      <w:tr>
        <w:trPr>
          <w:trHeight w:val="222"/>
        </w:trPr>
        <w:tc>
          <w:tcPr>
            <w:tcW w:w="68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Agreement dated as of December 8, 2006) (incorporated by reference to Exhibit 10.2 of Form 10-Q filed on November 10, 2010)</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10.7</w:t>
            </w:r>
          </w:p>
        </w:tc>
        <w:tc>
          <w:tcPr>
            <w:tcW w:w="10520" w:type="dxa"/>
            <w:vAlign w:val="bottom"/>
          </w:tcPr>
          <w:p>
            <w:pPr>
              <w:ind w:left="280"/>
              <w:spacing w:after="0"/>
              <w:rPr>
                <w:sz w:val="20"/>
                <w:szCs w:val="20"/>
                <w:color w:val="auto"/>
              </w:rPr>
            </w:pPr>
            <w:r>
              <w:rPr>
                <w:rFonts w:ascii="Arial" w:cs="Arial" w:eastAsia="Arial" w:hAnsi="Arial"/>
                <w:sz w:val="18"/>
                <w:szCs w:val="18"/>
                <w:color w:val="auto"/>
                <w:w w:val="91"/>
              </w:rPr>
              <w:t>Amendment No. 3 to the Group Short Term Disability Reinsurance Agreement, dated as of January 19, 2011, between Safeco Life Insurance</w:t>
            </w:r>
          </w:p>
        </w:tc>
      </w:tr>
      <w:tr>
        <w:trPr>
          <w:trHeight w:val="216"/>
        </w:trPr>
        <w:tc>
          <w:tcPr>
            <w:tcW w:w="68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92"/>
              </w:rPr>
              <w:t>Company and Reliance Standard Life Insurance Company, doing business as Custom Disability Solutions, successor to Duncanson &amp; Holt</w:t>
            </w:r>
          </w:p>
        </w:tc>
      </w:tr>
      <w:tr>
        <w:trPr>
          <w:trHeight w:val="222"/>
        </w:trPr>
        <w:tc>
          <w:tcPr>
            <w:tcW w:w="68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Services, Inc. (incorporated by reference to Exhibit 10.6 of Form 10-K filed on March 16, 2011)</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10.8</w:t>
            </w:r>
          </w:p>
        </w:tc>
        <w:tc>
          <w:tcPr>
            <w:tcW w:w="10520" w:type="dxa"/>
            <w:vAlign w:val="bottom"/>
          </w:tcPr>
          <w:p>
            <w:pPr>
              <w:ind w:left="280"/>
              <w:spacing w:after="0"/>
              <w:rPr>
                <w:sz w:val="20"/>
                <w:szCs w:val="20"/>
                <w:color w:val="auto"/>
              </w:rPr>
            </w:pPr>
            <w:r>
              <w:rPr>
                <w:rFonts w:ascii="Arial" w:cs="Arial" w:eastAsia="Arial" w:hAnsi="Arial"/>
                <w:sz w:val="18"/>
                <w:szCs w:val="18"/>
                <w:color w:val="auto"/>
                <w:w w:val="89"/>
              </w:rPr>
              <w:t>Group Long Term Disability Reinsurance Agreement, dated as of January 1, 1999 (the “Long Term Agreement”), between Safeco Life Insurance</w:t>
            </w:r>
          </w:p>
        </w:tc>
      </w:tr>
      <w:tr>
        <w:trPr>
          <w:trHeight w:val="216"/>
        </w:trPr>
        <w:tc>
          <w:tcPr>
            <w:tcW w:w="68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92"/>
              </w:rPr>
              <w:t>Company and Reliance Standard Life Insurance Company, doing business as Custom Disability Solutions, successor to Duncanson &amp; Holt</w:t>
            </w:r>
          </w:p>
        </w:tc>
      </w:tr>
      <w:tr>
        <w:trPr>
          <w:trHeight w:val="216"/>
        </w:trPr>
        <w:tc>
          <w:tcPr>
            <w:tcW w:w="68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89"/>
              </w:rPr>
              <w:t>Services, Inc. (including Amendment No. 1 to the Long Term Agreement dated as of January 1, 2000, Amendment to the Long Term Agreement</w:t>
            </w:r>
          </w:p>
        </w:tc>
      </w:tr>
      <w:tr>
        <w:trPr>
          <w:trHeight w:val="216"/>
        </w:trPr>
        <w:tc>
          <w:tcPr>
            <w:tcW w:w="68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92"/>
              </w:rPr>
              <w:t>dated as of January 1, 2006, Amendment No. 3 to the Long Term Agreement dated as of July 1, 2006, Amendment No. 4 to the Long Term</w:t>
            </w:r>
          </w:p>
        </w:tc>
      </w:tr>
      <w:tr>
        <w:trPr>
          <w:trHeight w:val="216"/>
        </w:trPr>
        <w:tc>
          <w:tcPr>
            <w:tcW w:w="68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88"/>
              </w:rPr>
              <w:t>Agreement dated as of December 8, 2006 and Amendment No. 5 to the Long Term Agreement dated as of September 1, 2008) (incorporated by</w:t>
            </w:r>
          </w:p>
        </w:tc>
      </w:tr>
      <w:tr>
        <w:trPr>
          <w:trHeight w:val="222"/>
        </w:trPr>
        <w:tc>
          <w:tcPr>
            <w:tcW w:w="68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reference to Exhibit 10.3 of Form 10-Q filed on November 10, 2010)</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10.9</w:t>
            </w:r>
          </w:p>
        </w:tc>
        <w:tc>
          <w:tcPr>
            <w:tcW w:w="10520" w:type="dxa"/>
            <w:vAlign w:val="bottom"/>
          </w:tcPr>
          <w:p>
            <w:pPr>
              <w:ind w:left="280"/>
              <w:spacing w:after="0"/>
              <w:rPr>
                <w:sz w:val="20"/>
                <w:szCs w:val="20"/>
                <w:color w:val="auto"/>
              </w:rPr>
            </w:pPr>
            <w:r>
              <w:rPr>
                <w:rFonts w:ascii="Arial" w:cs="Arial" w:eastAsia="Arial" w:hAnsi="Arial"/>
                <w:sz w:val="18"/>
                <w:szCs w:val="18"/>
                <w:color w:val="auto"/>
                <w:w w:val="92"/>
              </w:rPr>
              <w:t>Amendment No. 6 to the Group Long Term Disability Reinsurance Agreement, dated as of January 19, 2011 (the “Long Term Agreement”),</w:t>
            </w:r>
          </w:p>
        </w:tc>
      </w:tr>
      <w:tr>
        <w:trPr>
          <w:trHeight w:val="216"/>
        </w:trPr>
        <w:tc>
          <w:tcPr>
            <w:tcW w:w="68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92"/>
              </w:rPr>
              <w:t>between Safeco Life Insurance Company and Reliance Standard Life Insurance Company, doing business as Custom Disability Solutions,</w:t>
            </w:r>
          </w:p>
        </w:tc>
      </w:tr>
      <w:tr>
        <w:trPr>
          <w:trHeight w:val="222"/>
        </w:trPr>
        <w:tc>
          <w:tcPr>
            <w:tcW w:w="68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successor to Duncanson &amp; Holt Services, Inc. (incorporated by reference to Exhibit 10.8 of Form 10-K filed on March 16, 2011)</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10.10</w:t>
            </w:r>
          </w:p>
        </w:tc>
        <w:tc>
          <w:tcPr>
            <w:tcW w:w="10520" w:type="dxa"/>
            <w:vAlign w:val="bottom"/>
          </w:tcPr>
          <w:p>
            <w:pPr>
              <w:ind w:left="280"/>
              <w:spacing w:after="0"/>
              <w:rPr>
                <w:sz w:val="20"/>
                <w:szCs w:val="20"/>
                <w:color w:val="auto"/>
              </w:rPr>
            </w:pPr>
            <w:r>
              <w:rPr>
                <w:rFonts w:ascii="Arial" w:cs="Arial" w:eastAsia="Arial" w:hAnsi="Arial"/>
                <w:sz w:val="18"/>
                <w:szCs w:val="18"/>
                <w:color w:val="auto"/>
                <w:w w:val="93"/>
              </w:rPr>
              <w:t>Coinsurance Agreement, dated as of August 24, 2001, between Safeco Life Insurance Company and The Lincoln National Life Insurance</w:t>
            </w:r>
          </w:p>
        </w:tc>
      </w:tr>
      <w:tr>
        <w:trPr>
          <w:trHeight w:val="216"/>
        </w:trPr>
        <w:tc>
          <w:tcPr>
            <w:tcW w:w="68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93"/>
              </w:rPr>
              <w:t>Company (incorporated by reference to Exhibit 10.5 of Amendment No. 1 to Form S-1 (Registration No. 333-162344) filed on October 26,</w:t>
            </w:r>
          </w:p>
        </w:tc>
      </w:tr>
      <w:tr>
        <w:trPr>
          <w:trHeight w:val="222"/>
        </w:trPr>
        <w:tc>
          <w:tcPr>
            <w:tcW w:w="68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2009)††</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10.11</w:t>
            </w:r>
          </w:p>
        </w:tc>
        <w:tc>
          <w:tcPr>
            <w:tcW w:w="10520" w:type="dxa"/>
            <w:vAlign w:val="bottom"/>
          </w:tcPr>
          <w:p>
            <w:pPr>
              <w:ind w:left="280"/>
              <w:spacing w:after="0"/>
              <w:rPr>
                <w:sz w:val="20"/>
                <w:szCs w:val="20"/>
                <w:color w:val="auto"/>
              </w:rPr>
            </w:pPr>
            <w:r>
              <w:rPr>
                <w:rFonts w:ascii="Arial" w:cs="Arial" w:eastAsia="Arial" w:hAnsi="Arial"/>
                <w:sz w:val="18"/>
                <w:szCs w:val="18"/>
                <w:color w:val="auto"/>
                <w:w w:val="87"/>
              </w:rPr>
              <w:t>Coinsurance Funds Withheld Reinsurance Agreement, dated as of December 1, 2001, between Safeco Life Insurance Company and Transamerica</w:t>
            </w:r>
          </w:p>
        </w:tc>
      </w:tr>
      <w:tr>
        <w:trPr>
          <w:trHeight w:val="216"/>
        </w:trPr>
        <w:tc>
          <w:tcPr>
            <w:tcW w:w="68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94"/>
              </w:rPr>
              <w:t>Insurance Company (incorporated by reference to Exhibit 10.6 of Amendment No. 1 to Form S-1 (Registration No. 333-162344) filed on</w:t>
            </w:r>
          </w:p>
        </w:tc>
      </w:tr>
      <w:tr>
        <w:trPr>
          <w:trHeight w:val="222"/>
        </w:trPr>
        <w:tc>
          <w:tcPr>
            <w:tcW w:w="68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October 26, 2009)††</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10.12</w:t>
            </w:r>
          </w:p>
        </w:tc>
        <w:tc>
          <w:tcPr>
            <w:tcW w:w="10520" w:type="dxa"/>
            <w:vAlign w:val="bottom"/>
          </w:tcPr>
          <w:p>
            <w:pPr>
              <w:ind w:left="280"/>
              <w:spacing w:after="0"/>
              <w:rPr>
                <w:sz w:val="20"/>
                <w:szCs w:val="20"/>
                <w:color w:val="auto"/>
              </w:rPr>
            </w:pPr>
            <w:r>
              <w:rPr>
                <w:rFonts w:ascii="Arial" w:cs="Arial" w:eastAsia="Arial" w:hAnsi="Arial"/>
                <w:sz w:val="18"/>
                <w:szCs w:val="18"/>
                <w:color w:val="auto"/>
                <w:w w:val="94"/>
              </w:rPr>
              <w:t>Investment Management Agreement between White Mountains Advisors LLC and Occum Acquisition Corp., dated as of March 14, 2004</w:t>
            </w:r>
          </w:p>
        </w:tc>
      </w:tr>
      <w:tr>
        <w:trPr>
          <w:trHeight w:val="216"/>
        </w:trPr>
        <w:tc>
          <w:tcPr>
            <w:tcW w:w="68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96"/>
              </w:rPr>
              <w:t>(including Amendment to Investment Management Agreement dated as of September 30, 2004, Amendment No. 2 to the Investment</w:t>
            </w:r>
          </w:p>
        </w:tc>
      </w:tr>
      <w:tr>
        <w:trPr>
          <w:trHeight w:val="216"/>
        </w:trPr>
        <w:tc>
          <w:tcPr>
            <w:tcW w:w="68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89"/>
              </w:rPr>
              <w:t>Management Agreement dated as of August 1, 2005, Amendment No. 3 to the Investment Management Agreement dated as of October 1, 2005</w:t>
            </w:r>
          </w:p>
        </w:tc>
      </w:tr>
      <w:tr>
        <w:trPr>
          <w:trHeight w:val="216"/>
        </w:trPr>
        <w:tc>
          <w:tcPr>
            <w:tcW w:w="68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92"/>
              </w:rPr>
              <w:t>and Amendment No. 4 to the Investment Management Agreement dated as of March 9, 2007) (incorporated by reference to Exhibit 10.7 of</w:t>
            </w:r>
          </w:p>
        </w:tc>
      </w:tr>
      <w:tr>
        <w:trPr>
          <w:trHeight w:val="222"/>
        </w:trPr>
        <w:tc>
          <w:tcPr>
            <w:tcW w:w="68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Form S-1 (Registration No. 333-162344) filed on October 5, 2009)</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10.13</w:t>
            </w:r>
          </w:p>
        </w:tc>
        <w:tc>
          <w:tcPr>
            <w:tcW w:w="10520" w:type="dxa"/>
            <w:vAlign w:val="bottom"/>
          </w:tcPr>
          <w:p>
            <w:pPr>
              <w:ind w:left="280"/>
              <w:spacing w:after="0"/>
              <w:rPr>
                <w:sz w:val="20"/>
                <w:szCs w:val="20"/>
                <w:color w:val="auto"/>
              </w:rPr>
            </w:pPr>
            <w:r>
              <w:rPr>
                <w:rFonts w:ascii="Arial" w:cs="Arial" w:eastAsia="Arial" w:hAnsi="Arial"/>
                <w:sz w:val="18"/>
                <w:szCs w:val="18"/>
                <w:color w:val="auto"/>
                <w:w w:val="88"/>
              </w:rPr>
              <w:t>Amendment No. 5 dated September 19, 2009 to the Investment Management Agreement, dated as of March 14, 2004, between White Mountains</w:t>
            </w:r>
          </w:p>
        </w:tc>
      </w:tr>
      <w:tr>
        <w:trPr>
          <w:trHeight w:val="222"/>
        </w:trPr>
        <w:tc>
          <w:tcPr>
            <w:tcW w:w="68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Advisors LLC and Occum Acquisition Corp. (incorporated by reference to Exhibit 10.12 of Form 10-K filed on March 16, 2011)</w:t>
            </w:r>
          </w:p>
        </w:tc>
      </w:tr>
      <w:tr>
        <w:trPr>
          <w:trHeight w:val="365"/>
        </w:trPr>
        <w:tc>
          <w:tcPr>
            <w:tcW w:w="680" w:type="dxa"/>
            <w:vAlign w:val="bottom"/>
          </w:tcPr>
          <w:p>
            <w:pPr>
              <w:spacing w:after="0"/>
              <w:rPr>
                <w:sz w:val="24"/>
                <w:szCs w:val="24"/>
                <w:color w:val="auto"/>
              </w:rPr>
            </w:pPr>
          </w:p>
        </w:tc>
        <w:tc>
          <w:tcPr>
            <w:tcW w:w="10520" w:type="dxa"/>
            <w:vAlign w:val="bottom"/>
          </w:tcPr>
          <w:p>
            <w:pPr>
              <w:ind w:left="4700"/>
              <w:spacing w:after="0"/>
              <w:rPr>
                <w:sz w:val="20"/>
                <w:szCs w:val="20"/>
                <w:color w:val="auto"/>
              </w:rPr>
            </w:pPr>
            <w:r>
              <w:rPr>
                <w:rFonts w:ascii="Arial" w:cs="Arial" w:eastAsia="Arial" w:hAnsi="Arial"/>
                <w:sz w:val="18"/>
                <w:szCs w:val="18"/>
                <w:color w:val="auto"/>
              </w:rPr>
              <w:t>184</w:t>
            </w:r>
          </w:p>
        </w:tc>
      </w:tr>
    </w:tbl>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1160" w:right="820" w:hanging="949"/>
        <w:spacing w:after="0" w:line="268" w:lineRule="auto"/>
        <w:tabs>
          <w:tab w:leader="none" w:pos="11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Investment Management Agreement by and between Prospector Partners, LLC and Symetra Financial Corporation, dated July 1, 2010 (incorporated by reference to Exhibit 10.2 of Form 10-Q filed on August 12, 2010)</w:t>
      </w:r>
    </w:p>
    <w:p>
      <w:pPr>
        <w:spacing w:after="0" w:line="78" w:lineRule="exact"/>
        <w:rPr>
          <w:sz w:val="20"/>
          <w:szCs w:val="20"/>
          <w:color w:val="auto"/>
        </w:rPr>
      </w:pPr>
    </w:p>
    <w:p>
      <w:pPr>
        <w:jc w:val="both"/>
        <w:ind w:left="1160" w:right="240" w:hanging="949"/>
        <w:spacing w:after="0" w:line="259" w:lineRule="auto"/>
        <w:tabs>
          <w:tab w:leader="none" w:pos="11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Investment Management Agreement between White Mountains Advisors LLC and Symetra Financial Corporation, together with Symetra Life Insurance Company and certain other Affiliated Companies, dated as of June 1, 2011 (incorporated by reference to Exhibit 10.1 to Form 10-Q filed August 11, 2011)</w:t>
      </w:r>
    </w:p>
    <w:p>
      <w:pPr>
        <w:spacing w:after="0" w:line="86" w:lineRule="exact"/>
        <w:rPr>
          <w:sz w:val="20"/>
          <w:szCs w:val="20"/>
          <w:color w:val="auto"/>
        </w:rPr>
      </w:pPr>
    </w:p>
    <w:p>
      <w:pPr>
        <w:ind w:left="1160" w:right="80" w:hanging="949"/>
        <w:spacing w:after="0" w:line="259" w:lineRule="auto"/>
        <w:tabs>
          <w:tab w:leader="none" w:pos="11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Amendment No. 1 to Investment Management Agreement between White Mountains Advisors LLC and Symetra Financial Corporation together with Symetra Life Insurance Company and certain other Affiliated Companies, dated as of June 1, 2011 (incorporated by reference to Exhibit 10.01 of Form 10-Q dated August 9, 2012)</w:t>
      </w:r>
    </w:p>
    <w:p>
      <w:pPr>
        <w:spacing w:after="0" w:line="86" w:lineRule="exact"/>
        <w:rPr>
          <w:sz w:val="20"/>
          <w:szCs w:val="20"/>
          <w:color w:val="auto"/>
        </w:rPr>
      </w:pPr>
    </w:p>
    <w:p>
      <w:pPr>
        <w:ind w:left="1160" w:right="60" w:hanging="949"/>
        <w:spacing w:after="0" w:line="288" w:lineRule="auto"/>
        <w:tabs>
          <w:tab w:leader="none" w:pos="11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Agency Agreement, dated as of March 10, 2006, among Symetra Life Insurance Company, WM Financial Services, Inc. and WMFS Insurance Services, Inc. (including Addendum to the Agency Agreement dated as of February 22, 2007, Amendment to the Agency Agreement dated as of March 26, 2007, Amendment to the Agency Agreement dated as of July 17, 2007, Amendment to the Agency Agreement dated as of December 18, 2007, Amendment to the Agency Agreement dated as of September 15, 2008, Amendment to the Agency Agreement dated as of September 23, 2008, Addendum to the Agency Agreement dated as of September 23, 2008, Assignment of Agency Agreement between Symetra Life Insurance Company and WaMu Investments, Inc. (formerly WM Financial Services, Inc.) dated as of May 2, 2009 among Symetra Life Insurance Company, WaMu Investments, Inc. (formerly WM Financial Services, Inc.), WMFS Insurance Services, Inc. and Chase Insurance Agency, Inc., Amendment to the Agency Agreement dated as of May 2, 2009) (incorporated by reference to Exhibit 10.8 of Amendment No. 1 to Form S-1 (Registration No. 333-162344) filed on October 26, 2009)††</w:t>
      </w:r>
    </w:p>
    <w:p>
      <w:pPr>
        <w:spacing w:after="0" w:line="66" w:lineRule="exact"/>
        <w:rPr>
          <w:sz w:val="20"/>
          <w:szCs w:val="20"/>
          <w:color w:val="auto"/>
        </w:rPr>
      </w:pPr>
    </w:p>
    <w:p>
      <w:pPr>
        <w:ind w:left="1160" w:right="360" w:hanging="949"/>
        <w:spacing w:after="0" w:line="332" w:lineRule="auto"/>
        <w:tabs>
          <w:tab w:leader="none" w:pos="11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Amendments dated August 27, 2011 to the Agency Agreement dated as of September 26, 2006 among Symetra Life Insurance Company and Chase Insurance Agency, Inc. (incorporated by reference to Exhibit 10.01 of Form 10-Q filed on November 9, 2011)††</w:t>
      </w:r>
    </w:p>
    <w:p>
      <w:pPr>
        <w:spacing w:after="0" w:line="31" w:lineRule="exact"/>
        <w:rPr>
          <w:sz w:val="20"/>
          <w:szCs w:val="20"/>
          <w:color w:val="auto"/>
        </w:rPr>
      </w:pPr>
    </w:p>
    <w:p>
      <w:pPr>
        <w:ind w:left="1160" w:right="420" w:hanging="949"/>
        <w:spacing w:after="0" w:line="335" w:lineRule="auto"/>
        <w:tabs>
          <w:tab w:leader="none" w:pos="11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5"/>
          <w:szCs w:val="15"/>
          <w:color w:val="auto"/>
        </w:rPr>
        <w:t>Agency Agreement, dated as of September 26, 2006, among Symetra Life Insurance Company and Chase Insurance Agency, Inc. (including Addendum to the Agency Agreement dated as of May 15, 2007 and Addendum to the Agency Agreement dated as of March 21, 2008) (incorporated by reference to Exhibit 10.9 of Amendment No. 1 to Form S-1 (Registration No. 333-162344) filed on October 26, 2009)††</w:t>
      </w:r>
    </w:p>
    <w:p>
      <w:pPr>
        <w:spacing w:after="0" w:line="34" w:lineRule="exact"/>
        <w:rPr>
          <w:sz w:val="20"/>
          <w:szCs w:val="20"/>
          <w:color w:val="auto"/>
        </w:rPr>
      </w:pPr>
    </w:p>
    <w:p>
      <w:pPr>
        <w:jc w:val="right"/>
        <w:ind w:left="200" w:right="340"/>
        <w:spacing w:after="0" w:line="332" w:lineRule="auto"/>
        <w:rPr>
          <w:sz w:val="20"/>
          <w:szCs w:val="20"/>
          <w:color w:val="auto"/>
        </w:rPr>
      </w:pPr>
      <w:r>
        <w:rPr>
          <w:rFonts w:ascii="Arial" w:cs="Arial" w:eastAsia="Arial" w:hAnsi="Arial"/>
          <w:sz w:val="16"/>
          <w:szCs w:val="16"/>
          <w:color w:val="auto"/>
        </w:rPr>
        <w:t>10.20      Amendments dated September 21, 2010 and January 1, 2011 to the Agency Agreement dated as of September 26, 2006 among Symetra Life Insurance Company and Chase Insurance Agency, Inc. (incorporated by reference to Exhibit 10.16 of Form 10-K filed on March 16, 2011)††</w:t>
      </w:r>
    </w:p>
    <w:p>
      <w:pPr>
        <w:spacing w:after="0" w:line="31" w:lineRule="exact"/>
        <w:rPr>
          <w:sz w:val="20"/>
          <w:szCs w:val="20"/>
          <w:color w:val="auto"/>
        </w:rPr>
      </w:pPr>
    </w:p>
    <w:p>
      <w:pPr>
        <w:ind w:left="1160" w:right="360" w:hanging="949"/>
        <w:spacing w:after="0" w:line="332" w:lineRule="auto"/>
        <w:tabs>
          <w:tab w:leader="none" w:pos="11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Amendments dated August 27, 2011 to the Agency Agreement dated as of September 26, 2006 among Symetra Life Insurance Company and Chase Insurance Agency, Inc. (incorporated by reference to Exhibit 10.01 of Form 10-Q filed on November 9, 2011)††</w:t>
      </w:r>
    </w:p>
    <w:p>
      <w:pPr>
        <w:spacing w:after="0" w:line="31" w:lineRule="exact"/>
        <w:rPr>
          <w:sz w:val="20"/>
          <w:szCs w:val="20"/>
          <w:color w:val="auto"/>
        </w:rPr>
      </w:pPr>
    </w:p>
    <w:p>
      <w:pPr>
        <w:ind w:left="1160" w:right="140" w:hanging="949"/>
        <w:spacing w:after="0" w:line="332" w:lineRule="auto"/>
        <w:tabs>
          <w:tab w:leader="none" w:pos="11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Amendments dated November 16, 2011 to the Agency Agreement dates as of September 26, 2006 among Symetra Life Insurance Company and Chase Insurance Agency, Inc. (incorporated by reference to Exhibit 10.19 of Form 10-K filed on February 29, 2012)††</w:t>
      </w:r>
    </w:p>
    <w:p>
      <w:pPr>
        <w:spacing w:after="0" w:line="31" w:lineRule="exact"/>
        <w:rPr>
          <w:sz w:val="20"/>
          <w:szCs w:val="20"/>
          <w:color w:val="auto"/>
        </w:rPr>
      </w:pPr>
    </w:p>
    <w:p>
      <w:pPr>
        <w:ind w:left="1160" w:hanging="949"/>
        <w:spacing w:after="0" w:line="268" w:lineRule="auto"/>
        <w:tabs>
          <w:tab w:leader="none" w:pos="11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Amendments dated March 5, 2012 to the Agency Agreement dated as of September 26, 2006 among Symetra Life Insurance Company and Chase Insurance Agency, Inc. (incorporated by reference to Exhibit 10.02 of Form 10-Q filed on May 7, 2012) ††</w:t>
      </w:r>
    </w:p>
    <w:p>
      <w:pPr>
        <w:spacing w:after="0" w:line="78"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5"/>
          <w:szCs w:val="15"/>
          <w:color w:val="auto"/>
        </w:rPr>
        <w:t>Amendments dated July 2, 2012 and September 1, 2012 to the Agency Agreement dated as of September 26, 2006 among Symetra Life Insurance</w:t>
      </w:r>
    </w:p>
    <w:p>
      <w:pPr>
        <w:spacing w:after="0" w:line="15" w:lineRule="exact"/>
        <w:rPr>
          <w:sz w:val="20"/>
          <w:szCs w:val="20"/>
          <w:color w:val="auto"/>
        </w:rPr>
      </w:pPr>
    </w:p>
    <w:p>
      <w:pPr>
        <w:jc w:val="center"/>
        <w:ind w:left="440" w:right="960"/>
        <w:spacing w:after="0" w:line="433" w:lineRule="auto"/>
        <w:rPr>
          <w:sz w:val="20"/>
          <w:szCs w:val="20"/>
          <w:color w:val="auto"/>
        </w:rPr>
      </w:pPr>
      <w:r>
        <w:rPr>
          <w:rFonts w:ascii="Arial" w:cs="Arial" w:eastAsia="Arial" w:hAnsi="Arial"/>
          <w:sz w:val="18"/>
          <w:szCs w:val="18"/>
          <w:color w:val="auto"/>
        </w:rPr>
        <w:t>Company and Chase Insurance Agency, Inc. (incorporated by reference to Exhibit 10.1 of Form 10-Q filed on November 7, 2012)†† 185</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1160" w:hanging="949"/>
        <w:spacing w:after="0" w:line="268" w:lineRule="auto"/>
        <w:tabs>
          <w:tab w:leader="none" w:pos="11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Employment Agreement between Mr. Marra and Symetra Financial Corporation, dated June 7, 2010 (incorporated by reference to Exhibit 10.1 of Form 8-K filed on June 11, 2010)**</w:t>
      </w:r>
    </w:p>
    <w:p>
      <w:pPr>
        <w:spacing w:after="0" w:line="78" w:lineRule="exact"/>
        <w:rPr>
          <w:sz w:val="20"/>
          <w:szCs w:val="20"/>
          <w:color w:val="auto"/>
        </w:rPr>
      </w:pPr>
    </w:p>
    <w:p>
      <w:pPr>
        <w:ind w:left="1160" w:right="140" w:hanging="949"/>
        <w:spacing w:after="0" w:line="268" w:lineRule="auto"/>
        <w:tabs>
          <w:tab w:leader="none" w:pos="11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Separation and Consulting Agreement between Mr. Talbot and Symetra Financial Corporation, dated June 7, 2010 (incorporated by reference to Exhibit 10.2 of Form 8-K filed on June 11, 2010)**</w:t>
      </w:r>
    </w:p>
    <w:p>
      <w:pPr>
        <w:spacing w:after="0" w:line="78" w:lineRule="exact"/>
        <w:rPr>
          <w:sz w:val="20"/>
          <w:szCs w:val="20"/>
          <w:color w:val="auto"/>
        </w:rPr>
      </w:pPr>
    </w:p>
    <w:p>
      <w:pPr>
        <w:ind w:left="1160" w:right="240" w:hanging="949"/>
        <w:spacing w:after="0" w:line="268" w:lineRule="auto"/>
        <w:tabs>
          <w:tab w:leader="none" w:pos="11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Separation Agreement and General Release between Mr. Lindsay and Symetra Financial Corporation, dated August 27, 2010 (incorporated by reference to Exhibit 10.1 of Form 8-K/A filed on September 7, 2010)**</w:t>
      </w:r>
    </w:p>
    <w:p>
      <w:pPr>
        <w:spacing w:after="0" w:line="78" w:lineRule="exact"/>
        <w:rPr>
          <w:sz w:val="20"/>
          <w:szCs w:val="20"/>
          <w:color w:val="auto"/>
        </w:rPr>
      </w:pPr>
    </w:p>
    <w:p>
      <w:pPr>
        <w:ind w:left="1160" w:right="40" w:hanging="949"/>
        <w:spacing w:after="0" w:line="268" w:lineRule="auto"/>
        <w:tabs>
          <w:tab w:leader="none" w:pos="114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Separation Agreement and General Release between Mr. McCormick and Symetra Financial Corporation, dated November 1, 2010 (incorporated by reference to Exhibit 10.1 of Form 8-K/A filed on November 22, 2010)**</w:t>
      </w:r>
    </w:p>
    <w:p>
      <w:pPr>
        <w:spacing w:after="0" w:line="78" w:lineRule="exact"/>
        <w:rPr>
          <w:sz w:val="20"/>
          <w:szCs w:val="20"/>
          <w:color w:val="auto"/>
        </w:rPr>
      </w:pPr>
    </w:p>
    <w:p>
      <w:pPr>
        <w:ind w:left="1160" w:right="120" w:hanging="949"/>
        <w:spacing w:after="0" w:line="268" w:lineRule="auto"/>
        <w:tabs>
          <w:tab w:leader="none" w:pos="114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Separation Agreement and General Release between Ms. Davies and Symetra Life Insurance Company, dated December 15, 2010 (incorporated by reference to Exhibit 10.1 of Form 8-K/A filed on December 23, 2010)**</w:t>
      </w:r>
    </w:p>
    <w:p>
      <w:pPr>
        <w:spacing w:after="0" w:line="78" w:lineRule="exact"/>
        <w:rPr>
          <w:sz w:val="20"/>
          <w:szCs w:val="20"/>
          <w:color w:val="auto"/>
        </w:rPr>
      </w:pPr>
    </w:p>
    <w:p>
      <w:pPr>
        <w:ind w:left="1160" w:right="520" w:hanging="949"/>
        <w:spacing w:after="0" w:line="268" w:lineRule="auto"/>
        <w:tabs>
          <w:tab w:leader="none" w:pos="11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Separation Agreement and General Release between Mr. Curley and Symetra Financial Corporation, dated June 29, 2012 (incorporated by reference to Exhibit 10.01 of Form 8-K/A filed on July 10, 2012)**</w:t>
      </w:r>
    </w:p>
    <w:p>
      <w:pPr>
        <w:spacing w:after="0" w:line="78" w:lineRule="exact"/>
        <w:rPr>
          <w:sz w:val="20"/>
          <w:szCs w:val="20"/>
          <w:color w:val="auto"/>
        </w:rPr>
      </w:pPr>
    </w:p>
    <w:p>
      <w:pPr>
        <w:ind w:left="1160" w:right="580" w:hanging="949"/>
        <w:spacing w:after="0" w:line="268" w:lineRule="auto"/>
        <w:tabs>
          <w:tab w:leader="none" w:pos="11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Symetra Financial Corporation Performance Share Plan 2007-2009 (incorporated by reference to Exhibit 10.11 of Form S-1 (Registration No. 333-162344) filed on October 5, 2009)**</w:t>
      </w:r>
    </w:p>
    <w:p>
      <w:pPr>
        <w:spacing w:after="0" w:line="78" w:lineRule="exact"/>
        <w:rPr>
          <w:sz w:val="20"/>
          <w:szCs w:val="20"/>
          <w:color w:val="auto"/>
        </w:rPr>
      </w:pPr>
    </w:p>
    <w:p>
      <w:pPr>
        <w:ind w:left="1160" w:right="580" w:hanging="949"/>
        <w:spacing w:after="0" w:line="268" w:lineRule="auto"/>
        <w:tabs>
          <w:tab w:leader="none" w:pos="11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Symetra Financial Corporation Performance Share Plan 2008-2010 (incorporated by reference to Exhibit 10.12 of Form S-1 (Registration No. 333-162344) filed on October 5, 2009)**</w:t>
      </w:r>
    </w:p>
    <w:p>
      <w:pPr>
        <w:spacing w:after="0" w:line="78" w:lineRule="exact"/>
        <w:rPr>
          <w:sz w:val="20"/>
          <w:szCs w:val="20"/>
          <w:color w:val="auto"/>
        </w:rPr>
      </w:pPr>
    </w:p>
    <w:p>
      <w:pPr>
        <w:ind w:left="1160" w:right="580" w:hanging="949"/>
        <w:spacing w:after="0" w:line="268" w:lineRule="auto"/>
        <w:tabs>
          <w:tab w:leader="none" w:pos="11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Symetra Financial Corporation Performance Share Plan 2009-2011 (incorporated by reference to Exhibit 10.13 of Form S-1 (Registration No. 333-162344) filed on October 5, 2009)**</w:t>
      </w:r>
    </w:p>
    <w:p>
      <w:pPr>
        <w:spacing w:after="0" w:line="78"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Annual Incentive Bonus Plan (incorporated by reference to Exhibit 10.14 of Form 10-Q filed on August 12, 2010)**</w:t>
      </w:r>
    </w:p>
    <w:p>
      <w:pPr>
        <w:spacing w:after="0" w:line="117"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Symetra Financial Corporation Equity Plan (amended and restated on November 8, 2011) (incorporated by reference to Exhibit 10.29 of Form</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10-K filed on February 29, 2012)**</w:t>
      </w:r>
    </w:p>
    <w:p>
      <w:pPr>
        <w:spacing w:after="0" w:line="111" w:lineRule="exact"/>
        <w:rPr>
          <w:sz w:val="20"/>
          <w:szCs w:val="20"/>
          <w:color w:val="auto"/>
        </w:rPr>
      </w:pPr>
    </w:p>
    <w:p>
      <w:pPr>
        <w:ind w:left="1160" w:right="840" w:hanging="949"/>
        <w:spacing w:after="0" w:line="268" w:lineRule="auto"/>
        <w:tabs>
          <w:tab w:leader="none" w:pos="11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Symetra Financial Corporation Employee Stock Purchase Plan (amended and restated on May 11, 2010) (incorporated by reference to Exhibit 10.23 of Form 10-Q filed on May 14, 2010)**</w:t>
      </w:r>
    </w:p>
    <w:p>
      <w:pPr>
        <w:spacing w:after="0" w:line="78"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Form of Restricted Stock Agreement (incorporated by reference to Exhibit 10.21 of Form 10-Q filed on May 14, 2010)**</w:t>
      </w:r>
    </w:p>
    <w:p>
      <w:pPr>
        <w:spacing w:after="0" w:line="117" w:lineRule="exact"/>
        <w:rPr>
          <w:sz w:val="20"/>
          <w:szCs w:val="20"/>
          <w:color w:val="auto"/>
        </w:rPr>
      </w:pPr>
    </w:p>
    <w:p>
      <w:pPr>
        <w:ind w:left="1160" w:right="400" w:hanging="949"/>
        <w:spacing w:after="0" w:line="268" w:lineRule="auto"/>
        <w:tabs>
          <w:tab w:leader="none" w:pos="114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Form of Performance Unit Award Agreement Pursuant to the Symetra Financial Corporation Equity Plan 2010-2012 Grant (incorporated by reference to Exhibit 10.22 of Form 10-Q filed on May 14, 2010)**</w:t>
      </w:r>
    </w:p>
    <w:p>
      <w:pPr>
        <w:spacing w:after="0" w:line="78" w:lineRule="exact"/>
        <w:rPr>
          <w:sz w:val="20"/>
          <w:szCs w:val="20"/>
          <w:color w:val="auto"/>
        </w:rPr>
      </w:pPr>
    </w:p>
    <w:p>
      <w:pPr>
        <w:ind w:left="1160" w:right="420" w:hanging="949"/>
        <w:spacing w:after="0" w:line="268" w:lineRule="auto"/>
        <w:tabs>
          <w:tab w:leader="none" w:pos="114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Form of Performance Unit Award Agreement Pursuant to the Symetra Financial Corporation Equity Plan 2011-2013 Grant (incorporated by reference to Exhibit 10.1 to Form 10-Q filed on May 12, 2011)**</w:t>
      </w:r>
    </w:p>
    <w:p>
      <w:pPr>
        <w:spacing w:after="0" w:line="78" w:lineRule="exact"/>
        <w:rPr>
          <w:sz w:val="20"/>
          <w:szCs w:val="20"/>
          <w:color w:val="auto"/>
        </w:rPr>
      </w:pPr>
    </w:p>
    <w:p>
      <w:pPr>
        <w:ind w:left="1160" w:right="400" w:hanging="949"/>
        <w:spacing w:after="0" w:line="268" w:lineRule="auto"/>
        <w:tabs>
          <w:tab w:leader="none" w:pos="11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Form of Performance Unit Award Agreement Pursuant to the Symetra Financial Corporation Equity Plan 2012-2014 Grant (incorporated by reference to Exhibit 10.1 to Form 10-Q on May 7, 2012) **</w:t>
      </w:r>
    </w:p>
    <w:p>
      <w:pPr>
        <w:spacing w:after="0" w:line="78"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Form of Stock Option Award Agreement (incorporated by reference to Exhibit 10.1 of Form 10-Q filed on November 10, 2010)**</w:t>
      </w:r>
    </w:p>
    <w:p>
      <w:pPr>
        <w:spacing w:after="0" w:line="117" w:lineRule="exact"/>
        <w:rPr>
          <w:sz w:val="20"/>
          <w:szCs w:val="20"/>
          <w:color w:val="auto"/>
        </w:rPr>
      </w:pPr>
    </w:p>
    <w:p>
      <w:pPr>
        <w:ind w:left="1160" w:right="700" w:hanging="949"/>
        <w:spacing w:after="0" w:line="268" w:lineRule="auto"/>
        <w:tabs>
          <w:tab w:leader="none" w:pos="114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Form of Director and Officer Indemnification Agreement (incorporated by reference to Exhibit 10.20 of Amendment No. 3 to Form S-1 (Registration No. 333-162344) filed on December 12, 2009)**</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10.43</w:t>
            </w:r>
          </w:p>
        </w:tc>
        <w:tc>
          <w:tcPr>
            <w:tcW w:w="10420" w:type="dxa"/>
            <w:vAlign w:val="bottom"/>
          </w:tcPr>
          <w:p>
            <w:pPr>
              <w:ind w:left="280"/>
              <w:spacing w:after="0"/>
              <w:rPr>
                <w:sz w:val="20"/>
                <w:szCs w:val="20"/>
                <w:color w:val="auto"/>
              </w:rPr>
            </w:pPr>
            <w:r>
              <w:rPr>
                <w:rFonts w:ascii="Arial" w:cs="Arial" w:eastAsia="Arial" w:hAnsi="Arial"/>
                <w:sz w:val="18"/>
                <w:szCs w:val="18"/>
                <w:color w:val="auto"/>
                <w:w w:val="87"/>
              </w:rPr>
              <w:t>Restricted Stock Agreement between Thomas M. Marra and Symetra Financial Corporation, dated February 18, 2011 (incorporated by reference</w:t>
            </w:r>
          </w:p>
        </w:tc>
      </w:tr>
      <w:tr>
        <w:trPr>
          <w:trHeight w:val="222"/>
        </w:trPr>
        <w:tc>
          <w:tcPr>
            <w:tcW w:w="680" w:type="dxa"/>
            <w:vAlign w:val="bottom"/>
          </w:tcPr>
          <w:p>
            <w:pPr>
              <w:spacing w:after="0"/>
              <w:rPr>
                <w:sz w:val="19"/>
                <w:szCs w:val="19"/>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to Exhibit 10.1 of Form 8-K filed on February 23, 2011)**</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10.44</w:t>
            </w:r>
          </w:p>
        </w:tc>
        <w:tc>
          <w:tcPr>
            <w:tcW w:w="10420" w:type="dxa"/>
            <w:vAlign w:val="bottom"/>
          </w:tcPr>
          <w:p>
            <w:pPr>
              <w:ind w:left="280"/>
              <w:spacing w:after="0"/>
              <w:rPr>
                <w:sz w:val="20"/>
                <w:szCs w:val="20"/>
                <w:color w:val="auto"/>
              </w:rPr>
            </w:pPr>
            <w:r>
              <w:rPr>
                <w:rFonts w:ascii="Arial" w:cs="Arial" w:eastAsia="Arial" w:hAnsi="Arial"/>
                <w:sz w:val="18"/>
                <w:szCs w:val="18"/>
                <w:color w:val="auto"/>
                <w:w w:val="89"/>
              </w:rPr>
              <w:t>Performance Unit Award Agreement between Thomas M. Marra and Symetra Financial Corporation, dated February 18, 2011 (incorporated by</w:t>
            </w:r>
          </w:p>
        </w:tc>
      </w:tr>
      <w:tr>
        <w:trPr>
          <w:trHeight w:val="222"/>
        </w:trPr>
        <w:tc>
          <w:tcPr>
            <w:tcW w:w="680" w:type="dxa"/>
            <w:vAlign w:val="bottom"/>
          </w:tcPr>
          <w:p>
            <w:pPr>
              <w:spacing w:after="0"/>
              <w:rPr>
                <w:sz w:val="19"/>
                <w:szCs w:val="19"/>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reference to Exhibit 10.2 of Form 8-K filed on February 23, 2011)**</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10.45</w:t>
            </w:r>
          </w:p>
        </w:tc>
        <w:tc>
          <w:tcPr>
            <w:tcW w:w="10420" w:type="dxa"/>
            <w:vAlign w:val="bottom"/>
          </w:tcPr>
          <w:p>
            <w:pPr>
              <w:ind w:left="280"/>
              <w:spacing w:after="0"/>
              <w:rPr>
                <w:sz w:val="20"/>
                <w:szCs w:val="20"/>
                <w:color w:val="auto"/>
              </w:rPr>
            </w:pPr>
            <w:r>
              <w:rPr>
                <w:rFonts w:ascii="Arial" w:cs="Arial" w:eastAsia="Arial" w:hAnsi="Arial"/>
                <w:sz w:val="18"/>
                <w:szCs w:val="18"/>
                <w:color w:val="auto"/>
              </w:rPr>
              <w:t>Employment Agreement between Mr. Raymond and Symetra Financial Corporation, dated August 11, 2012* **</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10.46</w:t>
            </w:r>
          </w:p>
        </w:tc>
        <w:tc>
          <w:tcPr>
            <w:tcW w:w="10420" w:type="dxa"/>
            <w:vAlign w:val="bottom"/>
          </w:tcPr>
          <w:p>
            <w:pPr>
              <w:ind w:left="280"/>
              <w:spacing w:after="0"/>
              <w:rPr>
                <w:sz w:val="20"/>
                <w:szCs w:val="20"/>
                <w:color w:val="auto"/>
              </w:rPr>
            </w:pPr>
            <w:r>
              <w:rPr>
                <w:rFonts w:ascii="Arial" w:cs="Arial" w:eastAsia="Arial" w:hAnsi="Arial"/>
                <w:sz w:val="18"/>
                <w:szCs w:val="18"/>
                <w:color w:val="auto"/>
              </w:rPr>
              <w:t>Employment Agreement between Mr. Guilbert and Symetra Financial Corporation, dated August 30, 2011* **</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14.1</w:t>
            </w:r>
          </w:p>
        </w:tc>
        <w:tc>
          <w:tcPr>
            <w:tcW w:w="10420" w:type="dxa"/>
            <w:vAlign w:val="bottom"/>
          </w:tcPr>
          <w:p>
            <w:pPr>
              <w:ind w:left="280"/>
              <w:spacing w:after="0"/>
              <w:rPr>
                <w:sz w:val="20"/>
                <w:szCs w:val="20"/>
                <w:color w:val="auto"/>
              </w:rPr>
            </w:pPr>
            <w:r>
              <w:rPr>
                <w:rFonts w:ascii="Arial" w:cs="Arial" w:eastAsia="Arial" w:hAnsi="Arial"/>
                <w:sz w:val="18"/>
                <w:szCs w:val="18"/>
                <w:color w:val="auto"/>
              </w:rPr>
              <w:t>Code of Business Conduct (incorporated by reference to Exhibit 14.1 of Form 10-K filed on March 9, 2010)</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21.1</w:t>
            </w:r>
          </w:p>
        </w:tc>
        <w:tc>
          <w:tcPr>
            <w:tcW w:w="10420" w:type="dxa"/>
            <w:vAlign w:val="bottom"/>
          </w:tcPr>
          <w:p>
            <w:pPr>
              <w:ind w:left="280"/>
              <w:spacing w:after="0"/>
              <w:rPr>
                <w:sz w:val="20"/>
                <w:szCs w:val="20"/>
                <w:color w:val="auto"/>
              </w:rPr>
            </w:pPr>
            <w:r>
              <w:rPr>
                <w:rFonts w:ascii="Arial" w:cs="Arial" w:eastAsia="Arial" w:hAnsi="Arial"/>
                <w:sz w:val="18"/>
                <w:szCs w:val="18"/>
                <w:color w:val="auto"/>
                <w:w w:val="93"/>
              </w:rPr>
              <w:t>Subsidiaries of Symetra Financial Corporation (incorporated by reference to Exhibit 21.1 of Amendment No. 4 to Form S-1 (Registration</w:t>
            </w:r>
          </w:p>
        </w:tc>
      </w:tr>
      <w:tr>
        <w:trPr>
          <w:trHeight w:val="222"/>
        </w:trPr>
        <w:tc>
          <w:tcPr>
            <w:tcW w:w="680" w:type="dxa"/>
            <w:vAlign w:val="bottom"/>
          </w:tcPr>
          <w:p>
            <w:pPr>
              <w:spacing w:after="0"/>
              <w:rPr>
                <w:sz w:val="19"/>
                <w:szCs w:val="19"/>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No. 333-162344) filed on January 6, 2010)</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10420" w:type="dxa"/>
            <w:vAlign w:val="bottom"/>
          </w:tcPr>
          <w:p>
            <w:pPr>
              <w:ind w:left="28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24.1</w:t>
            </w:r>
          </w:p>
        </w:tc>
        <w:tc>
          <w:tcPr>
            <w:tcW w:w="10420" w:type="dxa"/>
            <w:vAlign w:val="bottom"/>
          </w:tcPr>
          <w:p>
            <w:pPr>
              <w:ind w:left="280"/>
              <w:spacing w:after="0"/>
              <w:rPr>
                <w:sz w:val="20"/>
                <w:szCs w:val="20"/>
                <w:color w:val="auto"/>
              </w:rPr>
            </w:pPr>
            <w:r>
              <w:rPr>
                <w:rFonts w:ascii="Arial" w:cs="Arial" w:eastAsia="Arial" w:hAnsi="Arial"/>
                <w:sz w:val="18"/>
                <w:szCs w:val="18"/>
                <w:color w:val="auto"/>
              </w:rPr>
              <w:t>Powers of Attorney with respect to the Annual Report on Form 10-K for the fiscal year ended December 31, 2012*</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31.1</w:t>
            </w:r>
          </w:p>
        </w:tc>
        <w:tc>
          <w:tcPr>
            <w:tcW w:w="10420" w:type="dxa"/>
            <w:vAlign w:val="bottom"/>
          </w:tcPr>
          <w:p>
            <w:pPr>
              <w:ind w:left="280"/>
              <w:spacing w:after="0"/>
              <w:rPr>
                <w:sz w:val="20"/>
                <w:szCs w:val="20"/>
                <w:color w:val="auto"/>
              </w:rPr>
            </w:pPr>
            <w:r>
              <w:rPr>
                <w:rFonts w:ascii="Arial" w:cs="Arial" w:eastAsia="Arial" w:hAnsi="Arial"/>
                <w:sz w:val="18"/>
                <w:szCs w:val="18"/>
                <w:color w:val="auto"/>
                <w:w w:val="96"/>
              </w:rPr>
              <w:t>Certification of Chief Executive Officer pursuant to Rule 13a-14(a) and Rule 15d-14(a) of the Securities Exchange Act, as amended*</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31.2</w:t>
            </w:r>
          </w:p>
        </w:tc>
        <w:tc>
          <w:tcPr>
            <w:tcW w:w="10420" w:type="dxa"/>
            <w:vAlign w:val="bottom"/>
          </w:tcPr>
          <w:p>
            <w:pPr>
              <w:ind w:left="280"/>
              <w:spacing w:after="0"/>
              <w:rPr>
                <w:sz w:val="20"/>
                <w:szCs w:val="20"/>
                <w:color w:val="auto"/>
              </w:rPr>
            </w:pPr>
            <w:r>
              <w:rPr>
                <w:rFonts w:ascii="Arial" w:cs="Arial" w:eastAsia="Arial" w:hAnsi="Arial"/>
                <w:sz w:val="18"/>
                <w:szCs w:val="18"/>
                <w:color w:val="auto"/>
                <w:w w:val="96"/>
              </w:rPr>
              <w:t>Certification of Chief Financial Officer pursuant to Rule 13a-14(a) and Rule 15d-14(a) of the Securities Exchange Act, as amended*</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32.1</w:t>
            </w: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Certification of Chief Executive Officer Pursuant to 18 U.S.C. 1350, as adopted pursuant to Section 906 of the Sarbanes-Oxley Act of 2002*</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32.2</w:t>
            </w: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Certification of Chief Financial Officer Pursuant to 18 U.S.C. 1350, as adopted pursuant to Section 906 of the Sarbanes-Oxley Act of 2002*</w:t>
            </w:r>
          </w:p>
        </w:tc>
      </w:tr>
    </w:tbl>
    <w:p>
      <w:pPr>
        <w:spacing w:after="0" w:line="102" w:lineRule="exact"/>
        <w:rPr>
          <w:sz w:val="20"/>
          <w:szCs w:val="20"/>
          <w:color w:val="auto"/>
        </w:rPr>
      </w:pPr>
    </w:p>
    <w:p>
      <w:pPr>
        <w:ind w:left="1160" w:hanging="976"/>
        <w:spacing w:after="0" w:line="256" w:lineRule="auto"/>
        <w:tabs>
          <w:tab w:leader="none" w:pos="11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following materials from Symetra Financial Corporation’s Annual Report on Form 10-K for the year ended December 31, 2012, formatted in XBRL (Extensible Business Reporting Language): (i) the Consolidated Balance Sheets, (ii) the Consolidated Statement of Income, (iii) the Consolidated Statement of Changes in Stockholders’ Equity, (iv) the Consolidated Statement of Cash Flows and (v) the Notes to the Consolidated Financial Statements.</w:t>
      </w:r>
    </w:p>
    <w:p>
      <w:pPr>
        <w:spacing w:after="0" w:line="129" w:lineRule="exact"/>
        <w:rPr>
          <w:rFonts w:ascii="Arial" w:cs="Arial" w:eastAsia="Arial" w:hAnsi="Arial"/>
          <w:sz w:val="18"/>
          <w:szCs w:val="18"/>
          <w:color w:val="auto"/>
        </w:rPr>
      </w:pPr>
    </w:p>
    <w:p>
      <w:pPr>
        <w:ind w:left="460" w:right="340" w:hanging="452"/>
        <w:spacing w:after="0" w:line="254"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Confidential treatment has been granted for certain portions which are omitted in the copy of the exhibit electronically filed with the SEC. The omitted information has been filed separately with the SEC pursuant to our application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89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5580" w:right="1980" w:hanging="5572"/>
        <w:spacing w:after="0" w:line="433" w:lineRule="auto"/>
        <w:tabs>
          <w:tab w:leader="none" w:pos="45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Management contract and compensatory plans and arrangements required to be filed as exhibits under Item 15(b) of this report. 187</w:t>
      </w:r>
    </w:p>
    <w:p>
      <w:pPr>
        <w:sectPr>
          <w:pgSz w:w="11900" w:h="16838" w:orient="portrait"/>
          <w:cols w:equalWidth="0" w:num="1">
            <w:col w:w="11400"/>
          </w:cols>
          <w:pgMar w:left="240" w:top="459" w:right="25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color w:val="auto"/>
        </w:rPr>
        <w:t>Exhibit 4.4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SYMETRA FINANCIAL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Occum Acquisition Corp.)</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Certificate No.: </w:t>
            </w:r>
            <w:r>
              <w:rPr>
                <w:rFonts w:ascii="Arial" w:cs="Arial" w:eastAsia="Arial" w:hAnsi="Arial"/>
                <w:sz w:val="18"/>
                <w:szCs w:val="18"/>
                <w:color w:val="auto"/>
              </w:rPr>
              <w:t>W-21</w:t>
            </w:r>
          </w:p>
        </w:tc>
        <w:tc>
          <w:tcPr>
            <w:tcW w:w="4520" w:type="dxa"/>
            <w:vAlign w:val="bottom"/>
            <w:gridSpan w:val="2"/>
          </w:tcPr>
          <w:p>
            <w:pPr>
              <w:ind w:left="2520"/>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01/25/2012</w:t>
            </w:r>
          </w:p>
        </w:tc>
      </w:tr>
      <w:tr>
        <w:trPr>
          <w:trHeight w:val="20"/>
        </w:trPr>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3940" w:type="dxa"/>
            <w:vAlign w:val="bottom"/>
            <w:gridSpan w:val="4"/>
          </w:tcPr>
          <w:p>
            <w:pPr>
              <w:spacing w:after="0"/>
              <w:rPr>
                <w:sz w:val="20"/>
                <w:szCs w:val="20"/>
                <w:color w:val="auto"/>
              </w:rPr>
            </w:pPr>
            <w:r>
              <w:rPr>
                <w:rFonts w:ascii="Arial" w:cs="Arial" w:eastAsia="Arial" w:hAnsi="Arial"/>
                <w:sz w:val="18"/>
                <w:szCs w:val="18"/>
                <w:b w:val="1"/>
                <w:bCs w:val="1"/>
                <w:color w:val="auto"/>
                <w:w w:val="90"/>
              </w:rPr>
              <w:t>Warrant Holder: SYA Insurance Holdings (NL) B.V.</w:t>
            </w:r>
          </w:p>
        </w:tc>
        <w:tc>
          <w:tcPr>
            <w:tcW w:w="4520" w:type="dxa"/>
            <w:vAlign w:val="bottom"/>
            <w:gridSpan w:val="2"/>
          </w:tcPr>
          <w:p>
            <w:pPr>
              <w:ind w:left="2520"/>
              <w:spacing w:after="0"/>
              <w:rPr>
                <w:sz w:val="20"/>
                <w:szCs w:val="20"/>
                <w:color w:val="auto"/>
              </w:rPr>
            </w:pPr>
            <w:r>
              <w:rPr>
                <w:rFonts w:ascii="Arial" w:cs="Arial" w:eastAsia="Arial" w:hAnsi="Arial"/>
                <w:sz w:val="18"/>
                <w:szCs w:val="18"/>
                <w:b w:val="1"/>
                <w:bCs w:val="1"/>
                <w:color w:val="auto"/>
                <w:w w:val="88"/>
              </w:rPr>
              <w:t xml:space="preserve">Warrant Shares: </w:t>
            </w:r>
            <w:r>
              <w:rPr>
                <w:rFonts w:ascii="Arial" w:cs="Arial" w:eastAsia="Arial" w:hAnsi="Arial"/>
                <w:sz w:val="18"/>
                <w:szCs w:val="18"/>
                <w:color w:val="auto"/>
                <w:w w:val="88"/>
              </w:rPr>
              <w:t>9,487,872</w:t>
            </w:r>
          </w:p>
        </w:tc>
      </w:tr>
      <w:tr>
        <w:trPr>
          <w:trHeight w:val="27"/>
        </w:trPr>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300" w:type="dxa"/>
            <w:vAlign w:val="bottom"/>
            <w:shd w:val="clear" w:color="auto" w:fill="000000"/>
          </w:tcPr>
          <w:p>
            <w:pPr>
              <w:spacing w:after="0"/>
              <w:rPr>
                <w:sz w:val="2"/>
                <w:szCs w:val="2"/>
                <w:color w:val="auto"/>
              </w:rPr>
            </w:pPr>
          </w:p>
        </w:tc>
        <w:tc>
          <w:tcPr>
            <w:tcW w:w="38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Certificate is issued to the Warrant Holder and for the number of Warrant Shares identified above, pursuant to:</w:t>
      </w:r>
    </w:p>
    <w:p>
      <w:pPr>
        <w:spacing w:after="0" w:line="131" w:lineRule="exact"/>
        <w:rPr>
          <w:sz w:val="20"/>
          <w:szCs w:val="20"/>
          <w:color w:val="auto"/>
        </w:rPr>
      </w:pPr>
    </w:p>
    <w:p>
      <w:pPr>
        <w:ind w:left="1420" w:right="4560" w:hanging="841"/>
        <w:spacing w:after="0" w:line="400" w:lineRule="auto"/>
        <w:tabs>
          <w:tab w:leader="none" w:pos="1415"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Assignment of prior Warrant Holder: </w:t>
      </w:r>
      <w:r>
        <w:rPr>
          <w:rFonts w:ascii="Arial" w:cs="Arial" w:eastAsia="Arial" w:hAnsi="Arial"/>
          <w:sz w:val="18"/>
          <w:szCs w:val="18"/>
          <w:b w:val="1"/>
          <w:bCs w:val="1"/>
          <w:u w:val="single" w:color="auto"/>
          <w:color w:val="auto"/>
        </w:rPr>
        <w:t>WM Alameda (Gibraltar) Limited</w:t>
      </w:r>
      <w:r>
        <w:rPr>
          <w:rFonts w:ascii="Arial" w:cs="Arial" w:eastAsia="Arial" w:hAnsi="Arial"/>
          <w:sz w:val="18"/>
          <w:szCs w:val="18"/>
          <w:b w:val="1"/>
          <w:bCs w:val="1"/>
          <w:color w:val="auto"/>
        </w:rPr>
        <w:t xml:space="preserv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120015</wp:posOffset>
            </wp:positionV>
            <wp:extent cx="456247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562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8331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33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469773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697730" cy="889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 replaces Certificate No. </w:t>
      </w:r>
      <w:r>
        <w:rPr>
          <w:rFonts w:ascii="Arial" w:cs="Arial" w:eastAsia="Arial" w:hAnsi="Arial"/>
          <w:sz w:val="18"/>
          <w:szCs w:val="18"/>
          <w:u w:val="single" w:color="auto"/>
          <w:color w:val="auto"/>
        </w:rPr>
        <w:t>W-20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terms and conditions of the Warrant dated July 29, 2004, attached hereto remain the same.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Recorded on Symetra Financial Corporation’s Warrant Ledger.</w:t>
      </w:r>
    </w:p>
    <w:p>
      <w:pPr>
        <w:spacing w:after="0" w:line="212" w:lineRule="exact"/>
        <w:rPr>
          <w:sz w:val="20"/>
          <w:szCs w:val="20"/>
          <w:color w:val="auto"/>
        </w:rPr>
      </w:pPr>
    </w:p>
    <w:p>
      <w:pPr>
        <w:jc w:val="right"/>
        <w:ind w:right="2840"/>
        <w:spacing w:after="0"/>
        <w:rPr>
          <w:sz w:val="20"/>
          <w:szCs w:val="20"/>
          <w:color w:val="auto"/>
        </w:rPr>
      </w:pPr>
      <w:r>
        <w:rPr>
          <w:rFonts w:ascii="Arial" w:cs="Arial" w:eastAsia="Arial" w:hAnsi="Arial"/>
          <w:sz w:val="18"/>
          <w:szCs w:val="18"/>
          <w:color w:val="auto"/>
        </w:rPr>
        <w:t>By:  /s/Julie M. Bodmer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right"/>
        <w:ind w:right="2840"/>
        <w:spacing w:after="0"/>
        <w:rPr>
          <w:sz w:val="20"/>
          <w:szCs w:val="20"/>
          <w:color w:val="auto"/>
        </w:rPr>
      </w:pPr>
      <w:r>
        <w:rPr>
          <w:rFonts w:ascii="Arial" w:cs="Arial" w:eastAsia="Arial" w:hAnsi="Arial"/>
          <w:sz w:val="18"/>
          <w:szCs w:val="18"/>
          <w:color w:val="auto"/>
        </w:rPr>
        <w:t>Assistant Secretary</w:t>
      </w:r>
    </w:p>
    <w:p>
      <w:pPr>
        <w:sectPr>
          <w:pgSz w:w="11900" w:h="16838" w:orient="portrait"/>
          <w:cols w:equalWidth="0" w:num="1">
            <w:col w:w="11420"/>
          </w:cols>
          <w:pgMar w:left="240" w:top="131" w:right="239" w:bottom="1440" w:gutter="0" w:footer="0" w:header="0"/>
        </w:sectPr>
      </w:pPr>
    </w:p>
    <w:bookmarkStart w:id="188" w:name="page189"/>
    <w:bookmarkEnd w:id="18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SECURITIES REPRESENTED BY THIS CERTIFICATE HAVE NOT BEEN REGISTERED UNDER THE U.S. SECURITIES ACT OF 1933 (THE</w:t>
      </w:r>
    </w:p>
    <w:p>
      <w:pPr>
        <w:spacing w:after="0" w:line="38"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OR ANY U.S. STATE SECURITIES LAWS AND MAY NOT BE TRANSFERRED, SOLD, ASSIGNED, PLEDGED OR OTHERWISE DISPOSED OF UNLESS (I) (A) A REGISTRATION STATEMENT IS IN EFFECT UNDER THE SECURITIES ACT WITH RESPECT TO SUCH SECURITIES, OR (B) A WRITTEN OPINION OF COUNSEL REASONABLY ACCEPTABLE TO THE COMPANY IS PROVIDED TO THE COMPANY TO THE EFFECT THAT NO SUCH REGISTRATION IS REQUIRED, AND (II) THE TRANSFEREE IS AN “ACCREDITED INVESTOR” AS DEFINED IN RULE 501(a) OF REGULATION D UNDER THE SECURITIES ACT.</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IN ADDITION, ANY SALE, ASSIGNMENT, TRANSFER, PLEDGE OR OTHER DISPOSITION OF THE SECURITIES REPRESENTED BY THIS CERTIFICATE IS RESTRICTED BY, AND THE RIGHTS ATTACHING TO THESE SECURITIES ARE SUBJECT TO, THE TERMS AND CONDITIONS CONTAINED HEREIN AND THE SHAREHOLDERS AGREEMENT DATED AS OF MARCH 8, 2004 (THE “</w:t>
      </w:r>
      <w:r>
        <w:rPr>
          <w:rFonts w:ascii="Arial" w:cs="Arial" w:eastAsia="Arial" w:hAnsi="Arial"/>
          <w:sz w:val="18"/>
          <w:szCs w:val="18"/>
          <w:u w:val="single" w:color="auto"/>
          <w:color w:val="auto"/>
        </w:rPr>
        <w:t>SHAREHOLDERS AGREEMENT</w:t>
      </w:r>
      <w:r>
        <w:rPr>
          <w:rFonts w:ascii="Arial" w:cs="Arial" w:eastAsia="Arial" w:hAnsi="Arial"/>
          <w:sz w:val="18"/>
          <w:szCs w:val="18"/>
          <w:color w:val="auto"/>
        </w:rPr>
        <w:t>”), AS IT MAY BE AMENDED FROM TIME TO TIME, WHICH ARE AVAILABLE FOR EXAMINATION BY HOLDERS OF SECURITIES AT THE REGISTERED OFFICE OF THE COMPANY. THE HOLDER OF THE SECURITIES REPRESENTED BY THIS CERTIFICATE, BY ACQUIRING AND HOLDING SUCH SECURITIES, SHALL BE DEEMED A PARTY TO SUCH SHAREHOLDERS AGREEMENT FOR ALL PURPOSES AND SHALL BE REQUIRED TO AGREE IN WRITING TO BE BOUND BY AND PERFORM ALL OF THE TERMS AND PROVISIONS OF SUCH SHAREHOLDERS AGREEMENT, ALL AS MORE FULLY PROVIDED THEREIN. IN ADDITION, ANY TRANSFEREE OF THE SECURITIES REPRESENTED BY THIS CERTIFICATE SHALL BE DEEMED TO BE A PARTY TO SUCH SHAREHOLDERS AGREEMENT FOR ALL PURPOSES AND SHALL BE REQUIRED BY THE TRANSFEROR TO AGREE IN WRITING TO ACQUIRE AND HOLD SUCH SECURITIES SUBJECT TO ALL OF THE TERMS OF SUCH SHAREHOLDERS AGREEMENT, ALL AS MORE FULLY PROVIDED THEREIN, WHICH TERMS ARE TO BE ENFORCED BY THE SHAREHOLDERS OF THE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OCCUM ACQUISITION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w:t>
      </w:r>
    </w:p>
    <w:p>
      <w:pPr>
        <w:spacing w:after="0" w:line="199" w:lineRule="exact"/>
        <w:rPr>
          <w:sz w:val="20"/>
          <w:szCs w:val="20"/>
          <w:color w:val="auto"/>
        </w:rPr>
      </w:pPr>
    </w:p>
    <w:p>
      <w:pPr>
        <w:spacing w:after="0"/>
        <w:tabs>
          <w:tab w:leader="none" w:pos="9960" w:val="left"/>
        </w:tabs>
        <w:rPr>
          <w:sz w:val="20"/>
          <w:szCs w:val="20"/>
          <w:color w:val="auto"/>
        </w:rPr>
      </w:pPr>
      <w:r>
        <w:rPr>
          <w:rFonts w:ascii="Arial" w:cs="Arial" w:eastAsia="Arial" w:hAnsi="Arial"/>
          <w:sz w:val="18"/>
          <w:szCs w:val="18"/>
          <w:b w:val="1"/>
          <w:bCs w:val="1"/>
          <w:color w:val="auto"/>
        </w:rPr>
        <w:t>Certificate No.: W - 2</w:t>
      </w:r>
      <w:r>
        <w:rPr>
          <w:sz w:val="20"/>
          <w:szCs w:val="20"/>
          <w:color w:val="auto"/>
        </w:rPr>
        <w:tab/>
      </w:r>
      <w:r>
        <w:rPr>
          <w:rFonts w:ascii="Arial" w:cs="Arial" w:eastAsia="Arial" w:hAnsi="Arial"/>
          <w:sz w:val="16"/>
          <w:szCs w:val="16"/>
          <w:b w:val="1"/>
          <w:bCs w:val="1"/>
          <w:color w:val="auto"/>
        </w:rPr>
        <w:t>Date: July 29, 2004</w:t>
      </w:r>
    </w:p>
    <w:p>
      <w:pPr>
        <w:spacing w:after="0" w:line="2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FOR CONSIDERATION RECEIVED, Occum Acquisition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hereby grants to White Mountains Re Group, Ltd. (the “</w:t>
      </w:r>
      <w:r>
        <w:rPr>
          <w:rFonts w:ascii="Arial" w:cs="Arial" w:eastAsia="Arial" w:hAnsi="Arial"/>
          <w:sz w:val="18"/>
          <w:szCs w:val="18"/>
          <w:u w:val="single" w:color="auto"/>
          <w:color w:val="auto"/>
        </w:rPr>
        <w:t>Warrant Holder</w:t>
      </w:r>
      <w:r>
        <w:rPr>
          <w:rFonts w:ascii="Arial" w:cs="Arial" w:eastAsia="Arial" w:hAnsi="Arial"/>
          <w:sz w:val="18"/>
          <w:szCs w:val="18"/>
          <w:color w:val="auto"/>
        </w:rPr>
        <w:t>”) this warrant certificate (this “</w:t>
      </w:r>
      <w:r>
        <w:rPr>
          <w:rFonts w:ascii="Arial" w:cs="Arial" w:eastAsia="Arial" w:hAnsi="Arial"/>
          <w:sz w:val="18"/>
          <w:szCs w:val="18"/>
          <w:u w:val="single" w:color="auto"/>
          <w:color w:val="auto"/>
        </w:rPr>
        <w:t>Warrant</w:t>
      </w:r>
      <w:r>
        <w:rPr>
          <w:rFonts w:ascii="Arial" w:cs="Arial" w:eastAsia="Arial" w:hAnsi="Arial"/>
          <w:sz w:val="18"/>
          <w:szCs w:val="18"/>
          <w:color w:val="auto"/>
        </w:rPr>
        <w:t>”) to purchase, in accordance with the terms set forth herein, 1,090,560 shares (the “</w:t>
      </w:r>
      <w:r>
        <w:rPr>
          <w:rFonts w:ascii="Arial" w:cs="Arial" w:eastAsia="Arial" w:hAnsi="Arial"/>
          <w:sz w:val="18"/>
          <w:szCs w:val="18"/>
          <w:u w:val="single" w:color="auto"/>
          <w:color w:val="auto"/>
        </w:rPr>
        <w:t>Warrant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of the Company’s common shares, initially having a par value of U.S. $0.01 per share (the “</w:t>
      </w:r>
      <w:r>
        <w:rPr>
          <w:rFonts w:ascii="Arial" w:cs="Arial" w:eastAsia="Arial" w:hAnsi="Arial"/>
          <w:sz w:val="18"/>
          <w:szCs w:val="18"/>
          <w:u w:val="single" w:color="auto"/>
          <w:color w:val="auto"/>
        </w:rPr>
        <w:t>Common Shares</w:t>
      </w:r>
      <w:r>
        <w:rPr>
          <w:rFonts w:ascii="Arial" w:cs="Arial" w:eastAsia="Arial" w:hAnsi="Arial"/>
          <w:sz w:val="18"/>
          <w:szCs w:val="18"/>
          <w:color w:val="auto"/>
        </w:rPr>
        <w:t>”), at a price per share equal to U.S. $100, as adjusted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89" w:name="page190"/>
    <w:bookmarkEnd w:id="189"/>
    <w:p>
      <w:pPr>
        <w:ind w:left="113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pursuant to Section 2 hereof (the “</w:t>
      </w:r>
      <w:r>
        <w:rPr>
          <w:rFonts w:ascii="Arial" w:cs="Arial" w:eastAsia="Arial" w:hAnsi="Arial"/>
          <w:sz w:val="15"/>
          <w:szCs w:val="15"/>
          <w:u w:val="single" w:color="auto"/>
          <w:color w:val="auto"/>
        </w:rPr>
        <w:t>Exercise Price</w:t>
      </w:r>
      <w:r>
        <w:rPr>
          <w:rFonts w:ascii="Arial" w:cs="Arial" w:eastAsia="Arial" w:hAnsi="Arial"/>
          <w:sz w:val="15"/>
          <w:szCs w:val="15"/>
          <w:color w:val="auto"/>
        </w:rPr>
        <w:t>”) but at no time shall the Exercise Price be less than the then current par value of any share to be issued pursuant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Warrant is issued pursuant to a letter agreement, dated as of March 8, 2004, between the Company and the Warrant Holder.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Warrant is subject to the following provisions: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Warrant Terms.</w:t>
      </w:r>
      <w:r>
        <w:rPr>
          <w:rFonts w:ascii="Arial" w:cs="Arial" w:eastAsia="Arial" w:hAnsi="Arial"/>
          <w:sz w:val="18"/>
          <w:szCs w:val="18"/>
          <w:color w:val="auto"/>
        </w:rPr>
        <w:t xml:space="preserve"> (a) This Warrant is for the purchase of the Warrant Shares at the Exercise Price.</w:t>
      </w:r>
    </w:p>
    <w:p>
      <w:pPr>
        <w:spacing w:after="0" w:line="9" w:lineRule="exact"/>
        <w:rPr>
          <w:sz w:val="20"/>
          <w:szCs w:val="20"/>
          <w:color w:val="auto"/>
        </w:rPr>
      </w:pPr>
    </w:p>
    <w:p>
      <w:pPr>
        <w:ind w:right="400" w:firstLine="464"/>
        <w:spacing w:after="0" w:line="250" w:lineRule="auto"/>
        <w:tabs>
          <w:tab w:leader="none" w:pos="70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This Warrant shall expire on the tenth anniversary of the date hereof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The Warrant exercise procedure set forth in Section 3 hereof must be commenced by the Warrant Holder by 3:30 p.m. New York City time on such Expiration Date.</w:t>
      </w:r>
    </w:p>
    <w:p>
      <w:pPr>
        <w:ind w:right="60" w:firstLine="456"/>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Anti-dilution Provisions.</w:t>
      </w:r>
      <w:r>
        <w:rPr>
          <w:rFonts w:ascii="Arial" w:cs="Arial" w:eastAsia="Arial" w:hAnsi="Arial"/>
          <w:sz w:val="18"/>
          <w:szCs w:val="18"/>
          <w:color w:val="auto"/>
        </w:rPr>
        <w:t xml:space="preserve"> In order to prevent dilution of the purchase rights granted under Section 1 hereof, the Exercise Price shall be subject to adjustment from time to time pursuant to this Section 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under no circumstances will the Exercise Price be less than the then current par value of any share to be issued under this Warrant.</w:t>
      </w:r>
    </w:p>
    <w:p>
      <w:pPr>
        <w:spacing w:after="0" w:line="1" w:lineRule="exact"/>
        <w:rPr>
          <w:rFonts w:ascii="Arial" w:cs="Arial" w:eastAsia="Arial" w:hAnsi="Arial"/>
          <w:sz w:val="18"/>
          <w:szCs w:val="18"/>
          <w:color w:val="auto"/>
        </w:rPr>
      </w:pPr>
    </w:p>
    <w:p>
      <w:pPr>
        <w:ind w:left="700" w:hanging="236"/>
        <w:spacing w:after="0"/>
        <w:tabs>
          <w:tab w:leader="none" w:pos="700"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Effect on Exercise Price of Certain Events.</w:t>
      </w:r>
      <w:r>
        <w:rPr>
          <w:rFonts w:ascii="Arial" w:cs="Arial" w:eastAsia="Arial" w:hAnsi="Arial"/>
          <w:sz w:val="18"/>
          <w:szCs w:val="18"/>
          <w:color w:val="auto"/>
        </w:rPr>
        <w:t xml:space="preserve"> For purposes of determining the adjusted Exercise Price, the following shall be applicable:</w:t>
      </w:r>
    </w:p>
    <w:p>
      <w:pPr>
        <w:spacing w:after="0" w:line="9" w:lineRule="exact"/>
        <w:rPr>
          <w:rFonts w:ascii="Arial" w:cs="Arial" w:eastAsia="Arial" w:hAnsi="Arial"/>
          <w:sz w:val="18"/>
          <w:szCs w:val="18"/>
          <w:color w:val="auto"/>
        </w:rPr>
      </w:pPr>
    </w:p>
    <w:p>
      <w:pPr>
        <w:ind w:right="80" w:firstLine="236"/>
        <w:spacing w:after="0" w:line="281" w:lineRule="auto"/>
        <w:tabs>
          <w:tab w:leader="none" w:pos="477"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Share Dividend, Subdivision or Consolidation/Combination of Common Shares.</w:t>
      </w:r>
      <w:r>
        <w:rPr>
          <w:rFonts w:ascii="Arial" w:cs="Arial" w:eastAsia="Arial" w:hAnsi="Arial"/>
          <w:sz w:val="16"/>
          <w:szCs w:val="16"/>
          <w:color w:val="auto"/>
        </w:rPr>
        <w:t xml:space="preserve"> If the Company, at any time while this Warrant is outstanding, (A) shall pay a stock or bonus share dividend on its Common Shares or pay any other distribution in Common Shares, (B) subdivide the class of Common Shares into a larger number of shares or (C) consolidate/combine the class of Common Shares into a smaller number of shares, then the Exercise Price thereafter shall be determined by multiplying the Exercise Price by a fraction (x) the numerator of which shall be the number of Common Shares (excluding treasury shares, if any) issued and outstanding before such event and (y) the denominator of which shall be the number of Common Shares (excluding treasury shares, if any) issued and outstanding after such event. Any adjustment made pursuant to this Section 2(a)(l) shall become effective immediately after the record date for the determination of shareholders entitled to receive such dividend or distribution and shall become effective immediately after the effective date in the case of a subdivision or combination.</w:t>
      </w:r>
    </w:p>
    <w:p>
      <w:pPr>
        <w:spacing w:after="0" w:line="5" w:lineRule="exact"/>
        <w:rPr>
          <w:rFonts w:ascii="Arial" w:cs="Arial" w:eastAsia="Arial" w:hAnsi="Arial"/>
          <w:sz w:val="16"/>
          <w:szCs w:val="16"/>
          <w:color w:val="auto"/>
        </w:rPr>
      </w:pPr>
    </w:p>
    <w:p>
      <w:pPr>
        <w:jc w:val="both"/>
        <w:ind w:right="140" w:firstLine="236"/>
        <w:spacing w:after="0" w:line="331" w:lineRule="auto"/>
        <w:tabs>
          <w:tab w:leader="none" w:pos="477" w:val="left"/>
        </w:tabs>
        <w:numPr>
          <w:ilvl w:val="0"/>
          <w:numId w:val="109"/>
        </w:numPr>
        <w:rPr>
          <w:rFonts w:ascii="Arial" w:cs="Arial" w:eastAsia="Arial" w:hAnsi="Arial"/>
          <w:sz w:val="15"/>
          <w:szCs w:val="15"/>
          <w:color w:val="auto"/>
        </w:rPr>
      </w:pPr>
      <w:r>
        <w:rPr>
          <w:rFonts w:ascii="Arial" w:cs="Arial" w:eastAsia="Arial" w:hAnsi="Arial"/>
          <w:sz w:val="15"/>
          <w:szCs w:val="15"/>
          <w:u w:val="single" w:color="auto"/>
          <w:color w:val="auto"/>
        </w:rPr>
        <w:t>Issuance of Additional Common Shares.</w:t>
      </w:r>
      <w:r>
        <w:rPr>
          <w:rFonts w:ascii="Arial" w:cs="Arial" w:eastAsia="Arial" w:hAnsi="Arial"/>
          <w:sz w:val="15"/>
          <w:szCs w:val="15"/>
          <w:color w:val="auto"/>
        </w:rPr>
        <w:t xml:space="preserve"> In case the Company at any time or from time to time after the date hereof shall issue or sell additional Common Shares, other than any issuance to which Section 2(a)(l) shall apply, without consideration or for a consideration per share less than the Fair Market Value of the Common Shares on the day immediately prior to such issue or sale, then, and in each such case, subject to Section 2(b)(iv), the Exercise Price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reduced, concurrently with such issue or sale, to a price determined by multiplying such Exercise Price by a fraction</w:t>
      </w:r>
    </w:p>
    <w:p>
      <w:pPr>
        <w:spacing w:after="0" w:line="9" w:lineRule="exact"/>
        <w:rPr>
          <w:sz w:val="20"/>
          <w:szCs w:val="20"/>
          <w:color w:val="auto"/>
        </w:rPr>
      </w:pPr>
    </w:p>
    <w:p>
      <w:pPr>
        <w:ind w:right="160" w:firstLine="236"/>
        <w:spacing w:after="0" w:line="250" w:lineRule="auto"/>
        <w:tabs>
          <w:tab w:leader="none" w:pos="47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numerator of which shall be (i) the number of Common Shares outstanding immediately prior to such issue or sale plus (ii) the number of Common Shares which the aggregate consideration received by the Company for the total number of such additional Common Shares so issued or sold would purchase at such Fair Market Value of the Common Shares, and</w:t>
      </w:r>
    </w:p>
    <w:p>
      <w:pPr>
        <w:spacing w:after="0" w:line="1" w:lineRule="exact"/>
        <w:rPr>
          <w:rFonts w:ascii="Arial" w:cs="Arial" w:eastAsia="Arial" w:hAnsi="Arial"/>
          <w:sz w:val="18"/>
          <w:szCs w:val="18"/>
          <w:color w:val="auto"/>
        </w:rPr>
      </w:pPr>
    </w:p>
    <w:p>
      <w:pPr>
        <w:ind w:left="480" w:hanging="244"/>
        <w:spacing w:after="0"/>
        <w:tabs>
          <w:tab w:leader="none" w:pos="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denominator of which shall be the number of Common Shares outstanding immediately after such issue or sale;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purposes of this Section 2(a)(2), treasury shares shall not be deemed to be outstanding.</w:t>
      </w:r>
    </w:p>
    <w:p>
      <w:pPr>
        <w:spacing w:after="0" w:line="9" w:lineRule="exact"/>
        <w:rPr>
          <w:sz w:val="20"/>
          <w:szCs w:val="20"/>
          <w:color w:val="auto"/>
        </w:rPr>
      </w:pPr>
    </w:p>
    <w:p>
      <w:pPr>
        <w:ind w:firstLine="236"/>
        <w:spacing w:after="0" w:line="281" w:lineRule="auto"/>
        <w:tabs>
          <w:tab w:leader="none" w:pos="477"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Dividends and Distributions.</w:t>
      </w:r>
      <w:r>
        <w:rPr>
          <w:rFonts w:ascii="Arial" w:cs="Arial" w:eastAsia="Arial" w:hAnsi="Arial"/>
          <w:sz w:val="16"/>
          <w:szCs w:val="16"/>
          <w:color w:val="auto"/>
        </w:rPr>
        <w:t xml:space="preserve"> In case the Company at any time or from time to time after the date hereof shall declare, order, pay or make a dividend or other distribution (including any distribution of other or additional stock or other securities or property or options, warrants or other rights to purchase Common Shares or Convertible Securities (as hereinafter defined) (other than options granted to employees of the Company) (collectively, “</w:t>
      </w:r>
      <w:r>
        <w:rPr>
          <w:rFonts w:ascii="Arial" w:cs="Arial" w:eastAsia="Arial" w:hAnsi="Arial"/>
          <w:sz w:val="16"/>
          <w:szCs w:val="16"/>
          <w:u w:val="single" w:color="auto"/>
          <w:color w:val="auto"/>
        </w:rPr>
        <w:t>Assets</w:t>
      </w:r>
      <w:r>
        <w:rPr>
          <w:rFonts w:ascii="Arial" w:cs="Arial" w:eastAsia="Arial" w:hAnsi="Arial"/>
          <w:sz w:val="16"/>
          <w:szCs w:val="16"/>
          <w:color w:val="auto"/>
        </w:rPr>
        <w:t>”) by way of dividend or spin-off, reclassification, recapitalization or similar corporate rearrangement) on the Common Shares, other than a dividend payable in additional Common Shares (which is the subject of Section 2(a)(l) hereof), then, and in each such case, the Company shall make the same dividend or distribution to Warrant Holders as it makes to holders of Common Shares pro rata based on the number of Common Shares for which such Warrants are then exercisable, and the Exercise Price shall not be adjusted in respect thereof.</w:t>
      </w:r>
    </w:p>
    <w:p>
      <w:pPr>
        <w:spacing w:after="0" w:line="4" w:lineRule="exact"/>
        <w:rPr>
          <w:rFonts w:ascii="Arial" w:cs="Arial" w:eastAsia="Arial" w:hAnsi="Arial"/>
          <w:sz w:val="16"/>
          <w:szCs w:val="16"/>
          <w:color w:val="auto"/>
        </w:rPr>
      </w:pPr>
    </w:p>
    <w:p>
      <w:pPr>
        <w:ind w:left="480" w:hanging="244"/>
        <w:spacing w:after="0"/>
        <w:tabs>
          <w:tab w:leader="none" w:pos="480"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Consolidation, Merger, etc.</w:t>
      </w:r>
    </w:p>
    <w:p>
      <w:pPr>
        <w:spacing w:after="0" w:line="9" w:lineRule="exact"/>
        <w:rPr>
          <w:rFonts w:ascii="Arial" w:cs="Arial" w:eastAsia="Arial" w:hAnsi="Arial"/>
          <w:sz w:val="18"/>
          <w:szCs w:val="18"/>
          <w:color w:val="auto"/>
        </w:rPr>
      </w:pPr>
    </w:p>
    <w:p>
      <w:pPr>
        <w:ind w:right="60" w:firstLine="464"/>
        <w:spacing w:after="0" w:line="281" w:lineRule="auto"/>
        <w:tabs>
          <w:tab w:leader="none" w:pos="744" w:val="left"/>
        </w:tabs>
        <w:numPr>
          <w:ilvl w:val="2"/>
          <w:numId w:val="111"/>
        </w:numPr>
        <w:rPr>
          <w:rFonts w:ascii="Arial" w:cs="Arial" w:eastAsia="Arial" w:hAnsi="Arial"/>
          <w:sz w:val="16"/>
          <w:szCs w:val="16"/>
          <w:color w:val="auto"/>
        </w:rPr>
      </w:pPr>
      <w:r>
        <w:rPr>
          <w:rFonts w:ascii="Arial" w:cs="Arial" w:eastAsia="Arial" w:hAnsi="Arial"/>
          <w:sz w:val="16"/>
          <w:szCs w:val="16"/>
          <w:u w:val="single" w:color="auto"/>
          <w:color w:val="auto"/>
        </w:rPr>
        <w:t>Adjustments for Consolidation, Merger, Sale of Assets, Reorganization, etc.</w:t>
      </w:r>
      <w:r>
        <w:rPr>
          <w:rFonts w:ascii="Arial" w:cs="Arial" w:eastAsia="Arial" w:hAnsi="Arial"/>
          <w:sz w:val="16"/>
          <w:szCs w:val="16"/>
          <w:color w:val="auto"/>
        </w:rPr>
        <w:t xml:space="preserve"> In case the Company after the date hereof (i) shall consolidate with or merge into any other Person (as hereinafter defined) and shall not be the continuing or surviving corporation of such consolidation or merger, (ii) shall permit any other Person to consolidate with or merge into the Company and the Company shall be the continuing or surviving Person but, in connection with such consolidation or merger, the Common Shares shall be changed into or exchanged for stock or other securities of any other Person or cash or any other property,</w:t>
      </w:r>
    </w:p>
    <w:p>
      <w:pPr>
        <w:spacing w:after="0" w:line="2" w:lineRule="exact"/>
        <w:rPr>
          <w:rFonts w:ascii="Arial" w:cs="Arial" w:eastAsia="Arial" w:hAnsi="Arial"/>
          <w:sz w:val="16"/>
          <w:szCs w:val="16"/>
          <w:color w:val="auto"/>
        </w:rPr>
      </w:pPr>
    </w:p>
    <w:p>
      <w:pPr>
        <w:jc w:val="both"/>
        <w:ind w:right="140" w:firstLine="8"/>
        <w:spacing w:after="0" w:line="255" w:lineRule="auto"/>
        <w:tabs>
          <w:tab w:leader="none" w:pos="30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shall transfer all or substantially all of its properties or assets to any other Person, (iv) shall effect a capital reorganization or reclassification of the Common Shares (other than a capital reorganization or reclassification resulting in an adjustment to the Exercise Price as provided in another paragraph of this Section 2), or (v) shall effect any other transaction in which the Common Shares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w:t>
      </w:r>
    </w:p>
    <w:p>
      <w:pPr>
        <w:spacing w:after="0" w:line="1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changed into or exchanged for stock or other securities of any other Person, then, except and insofar as otherwise provided in Section 2(a)(4)(C) in the case of each such transaction, proper provision shall be made so that, upon the basis and the terms and in the manner provided in this Warrant, the holder of this Warrant, upon the exercise hereof at any time after the consummation of such transaction, shall be entitled to receive (at the aggregate Exercise Price in effect at the time of such consummation for all Common Shares issuable upon such exercise immediately prior to such consummation), in lieu of the Common Shares issuable upon such exercise prior to such consummation, the amount of securities, cash or other property to which such holder would actually have been entitled as a shareholder upon such consummation if such holder had exercised the rights represented by this Warrant immediately prior thereto. As used herein, “</w:t>
      </w:r>
      <w:r>
        <w:rPr>
          <w:rFonts w:ascii="Arial" w:cs="Arial" w:eastAsia="Arial" w:hAnsi="Arial"/>
          <w:sz w:val="16"/>
          <w:szCs w:val="16"/>
          <w:u w:val="single" w:color="auto"/>
          <w:color w:val="auto"/>
        </w:rPr>
        <w:t>Person</w:t>
      </w:r>
      <w:r>
        <w:rPr>
          <w:rFonts w:ascii="Arial" w:cs="Arial" w:eastAsia="Arial" w:hAnsi="Arial"/>
          <w:sz w:val="16"/>
          <w:szCs w:val="16"/>
          <w:color w:val="auto"/>
        </w:rPr>
        <w:t>” shall mean an individual, company, corporation, limited liability company, firm, partnership, trust, estate, unincorporated association or other entity.</w:t>
      </w:r>
    </w:p>
    <w:p>
      <w:pPr>
        <w:spacing w:after="0" w:line="5" w:lineRule="exact"/>
        <w:rPr>
          <w:sz w:val="20"/>
          <w:szCs w:val="20"/>
          <w:color w:val="auto"/>
        </w:rPr>
      </w:pPr>
    </w:p>
    <w:p>
      <w:pPr>
        <w:ind w:right="20" w:firstLine="236"/>
        <w:spacing w:after="0" w:line="281" w:lineRule="auto"/>
        <w:tabs>
          <w:tab w:leader="none" w:pos="506"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Assumption of Obligations.</w:t>
      </w:r>
      <w:r>
        <w:rPr>
          <w:rFonts w:ascii="Arial" w:cs="Arial" w:eastAsia="Arial" w:hAnsi="Arial"/>
          <w:sz w:val="16"/>
          <w:szCs w:val="16"/>
          <w:color w:val="auto"/>
        </w:rPr>
        <w:t xml:space="preserve"> Notwithstanding anything contained in this Warrant or in the Shareholders Agreement to the contrary, the Company will not effect any of the transactions described in Sections 2(a)(4)(A)(i)-(v) unless, prior to the consummation thereof, each Person (other than the Company) which may be required to deliver any stock, securities, cash or property upon the exercise of this Warrant as provided herein shall assume, by written instrument delivered to, and reasonably satisfactory to, the holder of this Warrant, the obligations of the Company under this Warrant (and if the Company shall survive the consummation of such transaction, such assumption shall be in addition to, and shall not release the Company from, any continuing obligations of the Company under this Warrant). Nothing in this Section 2(a)(4) shall be deemed to authorize the Company to enter into any transaction not otherwise permitted by the Shareholders Agreement or the By-laws.</w:t>
      </w:r>
    </w:p>
    <w:p>
      <w:pPr>
        <w:spacing w:after="0" w:line="4" w:lineRule="exact"/>
        <w:rPr>
          <w:rFonts w:ascii="Arial" w:cs="Arial" w:eastAsia="Arial" w:hAnsi="Arial"/>
          <w:sz w:val="16"/>
          <w:szCs w:val="16"/>
          <w:color w:val="auto"/>
        </w:rPr>
      </w:pPr>
    </w:p>
    <w:p>
      <w:pPr>
        <w:ind w:left="520" w:hanging="284"/>
        <w:spacing w:after="0"/>
        <w:tabs>
          <w:tab w:leader="none" w:pos="520"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Qualifying Transactions.</w:t>
      </w:r>
      <w:r>
        <w:rPr>
          <w:rFonts w:ascii="Arial" w:cs="Arial" w:eastAsia="Arial" w:hAnsi="Arial"/>
          <w:sz w:val="16"/>
          <w:szCs w:val="16"/>
          <w:color w:val="auto"/>
        </w:rPr>
        <w:t xml:space="preserve"> (1) In the event that, after the date hereof, the Company shall effect a transaction of the type contemplated by subparagraph</w:t>
      </w:r>
    </w:p>
    <w:p>
      <w:pPr>
        <w:spacing w:after="0" w:line="32" w:lineRule="exact"/>
        <w:rPr>
          <w:rFonts w:ascii="Arial" w:cs="Arial" w:eastAsia="Arial" w:hAnsi="Arial"/>
          <w:sz w:val="16"/>
          <w:szCs w:val="16"/>
          <w:color w:val="auto"/>
        </w:rPr>
      </w:pPr>
    </w:p>
    <w:p>
      <w:pPr>
        <w:ind w:right="60" w:firstLine="8"/>
        <w:spacing w:after="0" w:line="290" w:lineRule="auto"/>
        <w:tabs>
          <w:tab w:leader="none" w:pos="28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above and in connection therewith (x) the Common Shares are exchanged in whole or in part for cash (other than cash in lieu of fractional shares), securities (other than Voting Common Stock (as defined below)) or other property (collectively, “</w:t>
      </w:r>
      <w:r>
        <w:rPr>
          <w:rFonts w:ascii="Arial" w:cs="Arial" w:eastAsia="Arial" w:hAnsi="Arial"/>
          <w:sz w:val="16"/>
          <w:szCs w:val="16"/>
          <w:u w:val="single" w:color="auto"/>
          <w:color w:val="auto"/>
        </w:rPr>
        <w:t>Non-Common Consideration</w:t>
      </w:r>
      <w:r>
        <w:rPr>
          <w:rFonts w:ascii="Arial" w:cs="Arial" w:eastAsia="Arial" w:hAnsi="Arial"/>
          <w:sz w:val="16"/>
          <w:szCs w:val="16"/>
          <w:color w:val="auto"/>
        </w:rPr>
        <w:t>”) and (y) the Per Share Value (as defined below) exceeds the Subscription Price (as defined below) (any such transaction being referred to herein as a “</w:t>
      </w:r>
      <w:r>
        <w:rPr>
          <w:rFonts w:ascii="Arial" w:cs="Arial" w:eastAsia="Arial" w:hAnsi="Arial"/>
          <w:sz w:val="16"/>
          <w:szCs w:val="16"/>
          <w:u w:val="single" w:color="auto"/>
          <w:color w:val="auto"/>
        </w:rPr>
        <w:t>Qualifying Transaction</w:t>
      </w:r>
      <w:r>
        <w:rPr>
          <w:rFonts w:ascii="Arial" w:cs="Arial" w:eastAsia="Arial" w:hAnsi="Arial"/>
          <w:sz w:val="16"/>
          <w:szCs w:val="16"/>
          <w:color w:val="auto"/>
        </w:rPr>
        <w:t>”), then (i) the holder of this Warrant shall receive, upon the consummation of the Qualifying Transaction, an amount in cash equal to the Intrinsic Value Amount (as defined below) and (ii) if any portion of the consideration to be received by holders of Common Shares in such Qualifying Transaction consists of Voting Common Stock (as defined below), the holder of the Warrant, upon the exercise hereof at any time after the consummation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w:t>
      </w:r>
    </w:p>
    <w:p>
      <w:pPr>
        <w:spacing w:after="0" w:line="90"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Qualifying Transaction, shall be entitled to receive, at the aggregate exercise price determined pursuant to subparagraph (C)(3) below, the number of shares of Voting Common Stock determined pursuant to subparagraph (C)(3) below.</w:t>
      </w:r>
    </w:p>
    <w:p>
      <w:pPr>
        <w:ind w:left="24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xml:space="preserve"> For purposes of this Section 2(a)(4), the following terms have the following meanings:</w:t>
      </w:r>
    </w:p>
    <w:p>
      <w:pPr>
        <w:spacing w:after="0" w:line="9" w:lineRule="exact"/>
        <w:rPr>
          <w:sz w:val="20"/>
          <w:szCs w:val="20"/>
          <w:color w:val="auto"/>
        </w:rPr>
      </w:pPr>
    </w:p>
    <w:p>
      <w:pPr>
        <w:ind w:right="280" w:firstLine="456"/>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 Share Value</w:t>
      </w:r>
      <w:r>
        <w:rPr>
          <w:rFonts w:ascii="Arial" w:cs="Arial" w:eastAsia="Arial" w:hAnsi="Arial"/>
          <w:sz w:val="16"/>
          <w:szCs w:val="16"/>
          <w:color w:val="auto"/>
        </w:rPr>
        <w:t>” means the average value of the consideration to be received in respect of each outstanding Common Share pursuant to the Qualifying Transaction as determined by mutual agreement of the Independent Directors (as defined in Section 2(b)(ii) below) and the holders of not less than 50% in interest of all outstanding warrants to purchase Common Shares containing this provision, or, if they shall fail to agree, by an Investment Bank.</w:t>
      </w:r>
    </w:p>
    <w:p>
      <w:pPr>
        <w:spacing w:after="0" w:line="2" w:lineRule="exact"/>
        <w:rPr>
          <w:sz w:val="20"/>
          <w:szCs w:val="20"/>
          <w:color w:val="auto"/>
        </w:rPr>
      </w:pPr>
    </w:p>
    <w:p>
      <w:pPr>
        <w:ind w:right="80" w:firstLine="456"/>
        <w:spacing w:after="0" w:line="30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Subscription Price</w:t>
      </w:r>
      <w:r>
        <w:rPr>
          <w:rFonts w:ascii="Arial" w:cs="Arial" w:eastAsia="Arial" w:hAnsi="Arial"/>
          <w:sz w:val="15"/>
          <w:szCs w:val="15"/>
          <w:color w:val="auto"/>
        </w:rPr>
        <w:t xml:space="preserve">” means U.S. $100.00;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amount shall be (i) adjusted in an appropriate and proportionate manner consistent with the provisions for adjusting the Exercise Price in Section 2(a)(l) for any events that require an adjustment in the Exercise Price pursuant to such section and</w:t>
      </w:r>
    </w:p>
    <w:p>
      <w:pPr>
        <w:spacing w:after="0" w:line="1" w:lineRule="exact"/>
        <w:rPr>
          <w:sz w:val="20"/>
          <w:szCs w:val="20"/>
          <w:color w:val="auto"/>
        </w:rPr>
      </w:pPr>
    </w:p>
    <w:p>
      <w:pPr>
        <w:ind w:right="20" w:firstLine="8"/>
        <w:spacing w:after="0" w:line="250" w:lineRule="auto"/>
        <w:tabs>
          <w:tab w:leader="none" w:pos="25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reduced by an amount equal to the pre-tax value (determined pursuant to Section 2(b)(i)) per Common Share of any dividend or other distribution described in Section 2(a)(3).</w:t>
      </w:r>
    </w:p>
    <w:p>
      <w:pPr>
        <w:ind w:right="20" w:firstLine="456"/>
        <w:spacing w:after="0" w:line="281"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Common Stock</w:t>
      </w:r>
      <w:r>
        <w:rPr>
          <w:rFonts w:ascii="Arial" w:cs="Arial" w:eastAsia="Arial" w:hAnsi="Arial"/>
          <w:sz w:val="16"/>
          <w:szCs w:val="16"/>
          <w:color w:val="auto"/>
        </w:rPr>
        <w:t>” means, as to any issuer, (i) voting equity securities of such issuer having no preference as to dividends or in a liquidation over any other securities of such issuer, (ii) nonvoting equity securities of such issuer which are in all other respects identical to, and are expected to have, after completion of the Qualifying Transaction, liquidity substantially equivalent to or greater than, the outstanding voting equity securities of such issuer that would fit the description in the preceding clause (i), or (iii) securities convertible into or exchangeable for the voting or nonvoting securities described in clause (i) or (ii).</w:t>
      </w:r>
    </w:p>
    <w:p>
      <w:pPr>
        <w:spacing w:after="0" w:line="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Intrinsic Value Amount</w:t>
      </w:r>
      <w:r>
        <w:rPr>
          <w:rFonts w:ascii="Arial" w:cs="Arial" w:eastAsia="Arial" w:hAnsi="Arial"/>
          <w:sz w:val="18"/>
          <w:szCs w:val="18"/>
          <w:color w:val="auto"/>
        </w:rPr>
        <w:t>” means (i) the Applicable Black-Scholes Value minus (ii) the Applicable Reduction, if any.</w:t>
      </w:r>
    </w:p>
    <w:p>
      <w:pPr>
        <w:spacing w:after="0" w:line="9" w:lineRule="exact"/>
        <w:rPr>
          <w:rFonts w:ascii="Arial" w:cs="Arial" w:eastAsia="Arial" w:hAnsi="Arial"/>
          <w:sz w:val="18"/>
          <w:szCs w:val="18"/>
          <w:color w:val="auto"/>
        </w:rPr>
      </w:pPr>
    </w:p>
    <w:p>
      <w:pPr>
        <w:ind w:left="460" w:right="1820"/>
        <w:spacing w:after="0" w:line="250"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Black-Scholes Value</w:t>
      </w:r>
      <w:r>
        <w:rPr>
          <w:rFonts w:ascii="Arial" w:cs="Arial" w:eastAsia="Arial" w:hAnsi="Arial"/>
          <w:sz w:val="18"/>
          <w:szCs w:val="18"/>
          <w:color w:val="auto"/>
        </w:rPr>
        <w:t>” shall mean the product of (i) the Black-Scholes Value and (ii) the Non-Common Stock Portion. “</w:t>
      </w:r>
      <w:r>
        <w:rPr>
          <w:rFonts w:ascii="Arial" w:cs="Arial" w:eastAsia="Arial" w:hAnsi="Arial"/>
          <w:sz w:val="18"/>
          <w:szCs w:val="18"/>
          <w:u w:val="single" w:color="auto"/>
          <w:color w:val="auto"/>
        </w:rPr>
        <w:t>Non-Common Stock Portion</w:t>
      </w:r>
      <w:r>
        <w:rPr>
          <w:rFonts w:ascii="Arial" w:cs="Arial" w:eastAsia="Arial" w:hAnsi="Arial"/>
          <w:sz w:val="18"/>
          <w:szCs w:val="18"/>
          <w:color w:val="auto"/>
        </w:rPr>
        <w:t>” means (i) one minus (ii) the Common Stock Portion.</w:t>
      </w:r>
    </w:p>
    <w:p>
      <w:pPr>
        <w:ind w:right="20" w:firstLine="456"/>
        <w:spacing w:after="0" w:line="25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Portion</w:t>
      </w:r>
      <w:r>
        <w:rPr>
          <w:rFonts w:ascii="Arial" w:cs="Arial" w:eastAsia="Arial" w:hAnsi="Arial"/>
          <w:sz w:val="18"/>
          <w:szCs w:val="18"/>
          <w:color w:val="auto"/>
        </w:rPr>
        <w:t>” means the quotient obtained by dividing (i) the total value of the shares of Voting Common Stock to be issued in respect of the outstanding Common Shares pursuant to the Qualifying Transaction by (ii) the total value of the shares of Voting Common Stock and Non-Common Consideration to be issued in respect of the outstanding Common Shares pursuant to the Qualifying Transaction, in each case as determined by mutual agreement of the Independent Directors and the holders of not less than 50% in interest of all outstanding warrants to purchase Common Shares containing this provision, or, if they shall fail to agree, by an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Reduction</w:t>
      </w:r>
      <w:r>
        <w:rPr>
          <w:rFonts w:ascii="Arial" w:cs="Arial" w:eastAsia="Arial" w:hAnsi="Arial"/>
          <w:sz w:val="18"/>
          <w:szCs w:val="18"/>
          <w:color w:val="auto"/>
        </w:rPr>
        <w:t>” means the product of (i) the Reduction Amount and (ii) the Non-Common Stock Portion.</w:t>
      </w:r>
    </w:p>
    <w:p>
      <w:pPr>
        <w:spacing w:after="0" w:line="15" w:lineRule="exact"/>
        <w:rPr>
          <w:sz w:val="20"/>
          <w:szCs w:val="20"/>
          <w:color w:val="auto"/>
        </w:rPr>
      </w:pPr>
    </w:p>
    <w:p>
      <w:pPr>
        <w:ind w:left="460" w:right="2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Reduction Amount</w:t>
      </w:r>
      <w:r>
        <w:rPr>
          <w:rFonts w:ascii="Arial" w:cs="Arial" w:eastAsia="Arial" w:hAnsi="Arial"/>
          <w:sz w:val="16"/>
          <w:szCs w:val="16"/>
          <w:color w:val="auto"/>
        </w:rPr>
        <w:t>” means the product of (i) the Discount Factor and (ii) the amount by which (x) the Black-Scholes Value exceeds (y) the Total Spread. “</w:t>
      </w:r>
      <w:r>
        <w:rPr>
          <w:rFonts w:ascii="Arial" w:cs="Arial" w:eastAsia="Arial" w:hAnsi="Arial"/>
          <w:sz w:val="16"/>
          <w:szCs w:val="16"/>
          <w:u w:val="single" w:color="auto"/>
          <w:color w:val="auto"/>
        </w:rPr>
        <w:t>Discount Factor</w:t>
      </w:r>
      <w:r>
        <w:rPr>
          <w:rFonts w:ascii="Arial" w:cs="Arial" w:eastAsia="Arial" w:hAnsi="Arial"/>
          <w:sz w:val="16"/>
          <w:szCs w:val="16"/>
          <w:color w:val="auto"/>
        </w:rPr>
        <w:t>” means (A) one minus (B) the quotient obtained by dividing (i) the amount by which (x) the Per Share Value exceeds (y) the Subscription</w:t>
      </w:r>
    </w:p>
    <w:p>
      <w:pPr>
        <w:spacing w:after="0" w:line="1"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 xml:space="preserve">Price by (ii) the amount by which (x) the Hurdle Price exceeds (y) the Subscription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quotient determined pursuant to clause (B) is greater than one, such quotient shall be deemed to be one.</w:t>
      </w:r>
    </w:p>
    <w:p>
      <w:pPr>
        <w:spacing w:after="0" w:line="1" w:lineRule="exact"/>
        <w:rPr>
          <w:sz w:val="20"/>
          <w:szCs w:val="20"/>
          <w:color w:val="auto"/>
        </w:rPr>
      </w:pPr>
    </w:p>
    <w:p>
      <w:pPr>
        <w:ind w:right="40" w:firstLine="456"/>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Spread</w:t>
      </w:r>
      <w:r>
        <w:rPr>
          <w:rFonts w:ascii="Arial" w:cs="Arial" w:eastAsia="Arial" w:hAnsi="Arial"/>
          <w:sz w:val="18"/>
          <w:szCs w:val="18"/>
          <w:color w:val="auto"/>
        </w:rPr>
        <w:t>” means the product of (i) the total number of Warrant Shares purchasable pursuant to this Warrant immediately prior to the completion of the Qualifying Transaction and (ii) the Spread.</w:t>
      </w:r>
    </w:p>
    <w:p>
      <w:pPr>
        <w:spacing w:after="0" w:line="1" w:lineRule="exact"/>
        <w:rPr>
          <w:sz w:val="20"/>
          <w:szCs w:val="20"/>
          <w:color w:val="auto"/>
        </w:rPr>
      </w:pPr>
    </w:p>
    <w:p>
      <w:pPr>
        <w:ind w:right="400" w:firstLine="456"/>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Spread</w:t>
      </w:r>
      <w:r>
        <w:rPr>
          <w:rFonts w:ascii="Arial" w:cs="Arial" w:eastAsia="Arial" w:hAnsi="Arial"/>
          <w:sz w:val="18"/>
          <w:szCs w:val="18"/>
          <w:color w:val="auto"/>
        </w:rPr>
        <w:t xml:space="preserve">” means the amount by which (i) the Per Share Value exceeds (ii) the Subscription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Subscription Price exceeds the Per Share Value, the Spread shall be deemed to be zero.</w:t>
      </w:r>
    </w:p>
    <w:p>
      <w:pPr>
        <w:spacing w:after="0" w:line="1" w:lineRule="exact"/>
        <w:rPr>
          <w:sz w:val="20"/>
          <w:szCs w:val="20"/>
          <w:color w:val="auto"/>
        </w:rPr>
      </w:pPr>
    </w:p>
    <w:p>
      <w:pPr>
        <w:ind w:right="80" w:firstLine="456"/>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Hurdle Price</w:t>
      </w:r>
      <w:r>
        <w:rPr>
          <w:rFonts w:ascii="Arial" w:cs="Arial" w:eastAsia="Arial" w:hAnsi="Arial"/>
          <w:sz w:val="16"/>
          <w:szCs w:val="16"/>
          <w:color w:val="auto"/>
        </w:rPr>
        <w:t xml:space="preserve">” means U.S. $ 155.00;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amount shall be (i) adjusted in an appropriate and proportionate manner consistent with the provisions for adjusting the Exercise Price in Section 2(a)(l) for any events that require an adjustment in the Exercise Price pursuant to such section and</w:t>
      </w:r>
    </w:p>
    <w:p>
      <w:pPr>
        <w:spacing w:after="0" w:line="1" w:lineRule="exact"/>
        <w:rPr>
          <w:sz w:val="20"/>
          <w:szCs w:val="20"/>
          <w:color w:val="auto"/>
        </w:rPr>
      </w:pPr>
    </w:p>
    <w:p>
      <w:pPr>
        <w:ind w:right="20" w:firstLine="8"/>
        <w:spacing w:after="0" w:line="250" w:lineRule="auto"/>
        <w:tabs>
          <w:tab w:leader="none" w:pos="25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reduced by an amount equal to the pre-tax value (determined pursuant to Section 2(b)(i)) per Common Share of any dividend or other distribution described in Section 2(a)(3).</w:t>
      </w:r>
    </w:p>
    <w:p>
      <w:pPr>
        <w:ind w:right="220" w:firstLine="456"/>
        <w:spacing w:after="0" w:line="281"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Bank</w:t>
      </w:r>
      <w:r>
        <w:rPr>
          <w:rFonts w:ascii="Arial" w:cs="Arial" w:eastAsia="Arial" w:hAnsi="Arial"/>
          <w:sz w:val="16"/>
          <w:szCs w:val="16"/>
          <w:color w:val="auto"/>
        </w:rPr>
        <w:t>” means an independent nationally-recognized U.S. investment banking firm selected by the Independent Directors with the consent of the holders of not less than 50% in interest of all outstanding warrants to purchase Common Shares containing this provision (which consent shall not be unreasonably withheld), the fees and expenses of which shall be shared equally by the Company on the one hand and such holders on the other.</w:t>
      </w:r>
    </w:p>
    <w:p>
      <w:pPr>
        <w:spacing w:after="0" w:line="2" w:lineRule="exact"/>
        <w:rPr>
          <w:rFonts w:ascii="Arial" w:cs="Arial" w:eastAsia="Arial" w:hAnsi="Arial"/>
          <w:sz w:val="18"/>
          <w:szCs w:val="18"/>
          <w:color w:val="auto"/>
        </w:rPr>
      </w:pPr>
    </w:p>
    <w:p>
      <w:pPr>
        <w:ind w:right="140" w:firstLine="456"/>
        <w:spacing w:after="0" w:line="26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Black-Scholes Value</w:t>
      </w:r>
      <w:r>
        <w:rPr>
          <w:rFonts w:ascii="Arial" w:cs="Arial" w:eastAsia="Arial" w:hAnsi="Arial"/>
          <w:sz w:val="18"/>
          <w:szCs w:val="18"/>
          <w:color w:val="auto"/>
        </w:rPr>
        <w:t>” means the value of this Warrant immediately prior to consummation of the Qualifying Transaction, as calculated by an Investment Bank, using the Black-Scholes calculation method for valuing options and the following assumptions:</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Volatility =</w:t>
            </w: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75" w:lineRule="exact"/>
        <w:rPr>
          <w:sz w:val="20"/>
          <w:szCs w:val="20"/>
          <w:color w:val="auto"/>
        </w:rPr>
      </w:pPr>
    </w:p>
    <w:p>
      <w:pPr>
        <w:ind w:left="1820" w:right="480" w:hanging="1512"/>
        <w:spacing w:after="0" w:line="268" w:lineRule="auto"/>
        <w:rPr>
          <w:sz w:val="20"/>
          <w:szCs w:val="20"/>
          <w:color w:val="auto"/>
        </w:rPr>
      </w:pPr>
      <w:r>
        <w:rPr>
          <w:rFonts w:ascii="Arial" w:cs="Arial" w:eastAsia="Arial" w:hAnsi="Arial"/>
          <w:sz w:val="18"/>
          <w:szCs w:val="18"/>
          <w:color w:val="auto"/>
        </w:rPr>
        <w:t>Risk Free Rate = the then current effective U.S. Federal government interest rate for a bond or note with a remaining time to maturity equal to the Term of the Warrant then in effect</w:t>
      </w:r>
    </w:p>
    <w:p>
      <w:pPr>
        <w:spacing w:after="0" w:line="6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Dividend Yield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w:t>
      </w:r>
    </w:p>
    <w:p>
      <w:pPr>
        <w:spacing w:after="0" w:line="90" w:lineRule="exact"/>
        <w:rPr>
          <w:sz w:val="20"/>
          <w:szCs w:val="20"/>
          <w:color w:val="auto"/>
        </w:rPr>
      </w:pPr>
    </w:p>
    <w:p>
      <w:pPr>
        <w:ind w:left="180"/>
        <w:spacing w:after="0"/>
        <w:tabs>
          <w:tab w:leader="none" w:pos="1840" w:val="left"/>
        </w:tabs>
        <w:rPr>
          <w:sz w:val="20"/>
          <w:szCs w:val="20"/>
          <w:color w:val="auto"/>
        </w:rPr>
      </w:pPr>
      <w:r>
        <w:rPr>
          <w:rFonts w:ascii="Arial" w:cs="Arial" w:eastAsia="Arial" w:hAnsi="Arial"/>
          <w:sz w:val="18"/>
          <w:szCs w:val="18"/>
          <w:color w:val="auto"/>
        </w:rPr>
        <w:t>Exercise Price =</w:t>
      </w:r>
      <w:r>
        <w:rPr>
          <w:sz w:val="20"/>
          <w:szCs w:val="20"/>
          <w:color w:val="auto"/>
        </w:rPr>
        <w:tab/>
      </w:r>
      <w:r>
        <w:rPr>
          <w:rFonts w:ascii="Arial" w:cs="Arial" w:eastAsia="Arial" w:hAnsi="Arial"/>
          <w:sz w:val="16"/>
          <w:szCs w:val="16"/>
          <w:color w:val="auto"/>
        </w:rPr>
        <w:t>the Exercise Price in effect immediately prior to the consummation of the Qualifying Transaction</w:t>
      </w:r>
    </w:p>
    <w:p>
      <w:pPr>
        <w:spacing w:after="0" w:line="117" w:lineRule="exact"/>
        <w:rPr>
          <w:sz w:val="20"/>
          <w:szCs w:val="20"/>
          <w:color w:val="auto"/>
        </w:rPr>
      </w:pPr>
    </w:p>
    <w:p>
      <w:pPr>
        <w:ind w:left="1740" w:right="40" w:hanging="1555"/>
        <w:spacing w:after="0" w:line="254" w:lineRule="auto"/>
        <w:rPr>
          <w:sz w:val="20"/>
          <w:szCs w:val="20"/>
          <w:color w:val="auto"/>
        </w:rPr>
      </w:pPr>
      <w:r>
        <w:rPr>
          <w:rFonts w:ascii="Arial" w:cs="Arial" w:eastAsia="Arial" w:hAnsi="Arial"/>
          <w:sz w:val="18"/>
          <w:szCs w:val="18"/>
          <w:color w:val="auto"/>
        </w:rPr>
        <w:t>Term of the Warrant= the lesser of five years and the remaining term of the Warrant, measured from the date of completion of the Qualifying Transaction to the Expiration Date</w:t>
      </w:r>
    </w:p>
    <w:p>
      <w:pPr>
        <w:spacing w:after="0"/>
        <w:rPr>
          <w:sz w:val="20"/>
          <w:szCs w:val="20"/>
          <w:color w:val="auto"/>
        </w:rPr>
      </w:pPr>
      <w:r>
        <w:rPr>
          <w:rFonts w:ascii="Arial" w:cs="Arial" w:eastAsia="Arial" w:hAnsi="Arial"/>
          <w:sz w:val="18"/>
          <w:szCs w:val="18"/>
          <w:color w:val="auto"/>
        </w:rPr>
        <w:t>The underlying security price for purposes of the Black-Scholes calculation shall be the Per Share Value.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this Warrant contains examples illustrating certain of the calculations required by this Section 2(a)(4)(C).</w:t>
      </w:r>
    </w:p>
    <w:p>
      <w:pPr>
        <w:spacing w:after="0" w:line="9" w:lineRule="exact"/>
        <w:rPr>
          <w:sz w:val="20"/>
          <w:szCs w:val="20"/>
          <w:color w:val="auto"/>
        </w:rPr>
      </w:pPr>
    </w:p>
    <w:p>
      <w:pPr>
        <w:ind w:firstLine="236"/>
        <w:spacing w:after="0" w:line="281" w:lineRule="auto"/>
        <w:tabs>
          <w:tab w:leader="none" w:pos="477"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Voting Common Stock Consideration.</w:t>
      </w:r>
      <w:r>
        <w:rPr>
          <w:rFonts w:ascii="Arial" w:cs="Arial" w:eastAsia="Arial" w:hAnsi="Arial"/>
          <w:sz w:val="16"/>
          <w:szCs w:val="16"/>
          <w:color w:val="auto"/>
        </w:rPr>
        <w:t xml:space="preserve"> In the event of a Qualifying Transaction in which any portion of the consideration to be received by holders of Common Shares in such Qualifying Transaction consists of Voting Common Stock, then proper provision shall be made so that, upon the basis and the terms and in the manner provided in this Warrant, the holder of this Warrant, upon the exercise hereof at any time after the consummation of such Qualifying Transaction, shall be entitled to receive (at the aggregate exercise price determined pursuant to this subparagraph (3)) a number of shares of Voting Common Stock equal to the product of (i) the product of (x) the aggregate number of Warrant Shares purchasable pursuant to this Warrant immediately prior to the completion of the Qualifying Transaction and (y) the Common Stock Portion and (ii) the Calculated Exchange Ratio. The aggregate exercise price of this Warrant after the consummation of such Qualifying Transaction shall be equal to the product of (i) the aggregate Exercise Price of this Warrant for the number of Warrant Shares purchasable pursuant to this Warrant immediately prior to the completion of the Qualifying Transaction and (ii) the Common Stock Portion.</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 purposes of this subparagraph (3):</w:t>
      </w:r>
    </w:p>
    <w:p>
      <w:pPr>
        <w:spacing w:after="0" w:line="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Calculated Exchange Ratio</w:t>
      </w:r>
      <w:r>
        <w:rPr>
          <w:rFonts w:ascii="Arial" w:cs="Arial" w:eastAsia="Arial" w:hAnsi="Arial"/>
          <w:sz w:val="16"/>
          <w:szCs w:val="16"/>
          <w:color w:val="auto"/>
        </w:rPr>
        <w:t>” means the quotient obtained by dividing (i) the Per Share Value by (ii) the Average Closing Price of the Voting Common</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w:t>
      </w:r>
    </w:p>
    <w:p>
      <w:pPr>
        <w:spacing w:after="0" w:line="9" w:lineRule="exact"/>
        <w:rPr>
          <w:rFonts w:ascii="Arial" w:cs="Arial" w:eastAsia="Arial" w:hAnsi="Arial"/>
          <w:sz w:val="16"/>
          <w:szCs w:val="16"/>
          <w:color w:val="auto"/>
        </w:rPr>
      </w:pPr>
    </w:p>
    <w:p>
      <w:pPr>
        <w:ind w:right="20" w:firstLine="456"/>
        <w:spacing w:after="0" w:line="250"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Closing Price</w:t>
      </w:r>
      <w:r>
        <w:rPr>
          <w:rFonts w:ascii="Arial" w:cs="Arial" w:eastAsia="Arial" w:hAnsi="Arial"/>
          <w:sz w:val="18"/>
          <w:szCs w:val="18"/>
          <w:color w:val="auto"/>
        </w:rPr>
        <w:t>” means (a) the average of the closing prices per share of the Voting Common Stock on the national securities exchange or automated quotation system on which such stock is then listed for the 10 consecutive trading days immediately preceding the closing date of the Qualifying Transaction, or (b) if such Voting Common Stock is not so listed, the fair market value per share of such Voting Common Stock, determined by mutual agreement of the Independent Directors and the holders of not less than 50% in interest of all outstanding warrants to purchase Common Shares containing this provision, or, if they shall fail to agree, by an Investment Bank.</w:t>
      </w:r>
    </w:p>
    <w:p>
      <w:pPr>
        <w:spacing w:after="0" w:line="2" w:lineRule="exact"/>
        <w:rPr>
          <w:rFonts w:ascii="Arial" w:cs="Arial" w:eastAsia="Arial" w:hAnsi="Arial"/>
          <w:sz w:val="16"/>
          <w:szCs w:val="16"/>
          <w:color w:val="auto"/>
        </w:rPr>
      </w:pPr>
    </w:p>
    <w:p>
      <w:pPr>
        <w:ind w:right="680" w:firstLine="236"/>
        <w:spacing w:after="0" w:line="261" w:lineRule="auto"/>
        <w:tabs>
          <w:tab w:leader="none" w:pos="477"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Cancelation of Warrant.</w:t>
      </w:r>
      <w:r>
        <w:rPr>
          <w:rFonts w:ascii="Arial" w:cs="Arial" w:eastAsia="Arial" w:hAnsi="Arial"/>
          <w:sz w:val="18"/>
          <w:szCs w:val="18"/>
          <w:color w:val="auto"/>
        </w:rPr>
        <w:t xml:space="preserve"> In the event of a Qualifying Transaction in which the Common Stock Portion is zero, then the holder of this Warrant shall surrender this Warrant at the time of payment of the Intrinsic Value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w:t>
      </w:r>
    </w:p>
    <w:p>
      <w:pPr>
        <w:spacing w:after="0" w:line="9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whereupon this Warrant shall be canceled and all rights hereunder shall expire. In the event of a Qualifying Transaction in which the Common Stock Portion is more than zero, then the holder of this Warrant shall surrender this Warrant at the time of payment of the Intrinsic Value Amount in exchange for a warrant of like tenor representing the right to purchase the number of shares of Voting Common Stock determined pursuant to Section 2(a)(4)(C)(3) at the aggregate exercise price as determined pursuant to Section 2(a)(4)(C)(3).</w:t>
      </w:r>
    </w:p>
    <w:p>
      <w:pPr>
        <w:spacing w:after="0" w:line="1" w:lineRule="exact"/>
        <w:rPr>
          <w:sz w:val="20"/>
          <w:szCs w:val="20"/>
          <w:color w:val="auto"/>
        </w:rPr>
      </w:pPr>
    </w:p>
    <w:p>
      <w:pPr>
        <w:ind w:right="120" w:firstLine="236"/>
        <w:spacing w:after="0" w:line="281" w:lineRule="auto"/>
        <w:tabs>
          <w:tab w:leader="none" w:pos="477"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Cash Elections; etc.</w:t>
      </w:r>
      <w:r>
        <w:rPr>
          <w:rFonts w:ascii="Arial" w:cs="Arial" w:eastAsia="Arial" w:hAnsi="Arial"/>
          <w:sz w:val="16"/>
          <w:szCs w:val="16"/>
          <w:color w:val="auto"/>
        </w:rPr>
        <w:t xml:space="preserve"> In the event that the type of consideration to be received per Common Share in a Qualifying Transaction is subject to the election of the holders thereof, such election permits such holder to elect to receive Voting Common Stock and there is no limitation on the number of shares of Voting Common Stock to be issued in the Qualifying Transaction, then (i) after the consummation of such transaction this Warrant shall be exercisable solely for Voting Common Stock, (ii) such transaction shall not be deemed to constitute a Qualifying Transaction and (iii) the provisions of Section 2(a)(4)(A) shall apply.</w:t>
      </w:r>
    </w:p>
    <w:p>
      <w:pPr>
        <w:spacing w:after="0" w:line="2" w:lineRule="exact"/>
        <w:rPr>
          <w:rFonts w:ascii="Arial" w:cs="Arial" w:eastAsia="Arial" w:hAnsi="Arial"/>
          <w:sz w:val="16"/>
          <w:szCs w:val="16"/>
          <w:color w:val="auto"/>
        </w:rPr>
      </w:pPr>
    </w:p>
    <w:p>
      <w:pPr>
        <w:ind w:right="100" w:firstLine="236"/>
        <w:spacing w:after="0" w:line="250" w:lineRule="auto"/>
        <w:tabs>
          <w:tab w:leader="none" w:pos="477"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All Reasonable Efforts.</w:t>
      </w:r>
      <w:r>
        <w:rPr>
          <w:rFonts w:ascii="Arial" w:cs="Arial" w:eastAsia="Arial" w:hAnsi="Arial"/>
          <w:sz w:val="18"/>
          <w:szCs w:val="18"/>
          <w:color w:val="auto"/>
        </w:rPr>
        <w:t xml:space="preserve"> In the case of a Qualifying Transaction in which any portion of the consideration to be received by the holders of Common Shares consists of Voting Common Stock, the holder of this Warrant and the Company shall use all reasonable efforts to cause this Warrant to become exercisable solely for Voting Common Stock and, if the Person who shall be issuing Voting Common Stock in such transaction agrees in writing that this Warrant shall be exercisable solely for Voting Common Stock, then (i) such transaction shall not be deemed to constitute a Qualifying Transaction and (ii) the provisions of Section 2(a)(4)(A) shall apply.</w:t>
      </w:r>
    </w:p>
    <w:p>
      <w:pPr>
        <w:spacing w:after="0" w:line="2" w:lineRule="exact"/>
        <w:rPr>
          <w:rFonts w:ascii="Arial" w:cs="Arial" w:eastAsia="Arial" w:hAnsi="Arial"/>
          <w:sz w:val="18"/>
          <w:szCs w:val="18"/>
          <w:color w:val="auto"/>
        </w:rPr>
      </w:pPr>
    </w:p>
    <w:p>
      <w:pPr>
        <w:ind w:right="460" w:firstLine="464"/>
        <w:spacing w:after="0" w:line="250" w:lineRule="auto"/>
        <w:tabs>
          <w:tab w:leader="none" w:pos="705"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Other Provisions Applicable to Adjustments Under This Section.</w:t>
      </w:r>
      <w:r>
        <w:rPr>
          <w:rFonts w:ascii="Arial" w:cs="Arial" w:eastAsia="Arial" w:hAnsi="Arial"/>
          <w:sz w:val="18"/>
          <w:szCs w:val="18"/>
          <w:color w:val="auto"/>
        </w:rPr>
        <w:t xml:space="preserve"> The following provisions shall be applicable to the making of adjustments to the number of Warrant Shares for which the Warrant is exercisable provided for in this Section 2.</w:t>
      </w:r>
    </w:p>
    <w:p>
      <w:pPr>
        <w:ind w:right="40" w:firstLine="228"/>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Adjustment in Number of Warrant Shares.</w:t>
      </w:r>
      <w:r>
        <w:rPr>
          <w:rFonts w:ascii="Arial" w:cs="Arial" w:eastAsia="Arial" w:hAnsi="Arial"/>
          <w:sz w:val="18"/>
          <w:szCs w:val="18"/>
          <w:color w:val="auto"/>
        </w:rPr>
        <w:t xml:space="preserve"> Upon each adjustment of the Exercise Price pursuant to Sections 2(a)(l) or 2(a)(2), the number of Common Shares for which this Warrant is exercisable shall be adjusted by multiplying the number of Common Shares for which this Warrant was exercisable prior to such adjustment by a fraction (i) whose numerator is the Exercise Price in effect immediately prior to such adjustment and (ii) whose denominator is the Exercise Price in effect immediately after such adjustment.</w:t>
      </w:r>
    </w:p>
    <w:p>
      <w:pPr>
        <w:spacing w:after="0" w:line="1" w:lineRule="exact"/>
        <w:rPr>
          <w:rFonts w:ascii="Arial" w:cs="Arial" w:eastAsia="Arial" w:hAnsi="Arial"/>
          <w:sz w:val="18"/>
          <w:szCs w:val="18"/>
          <w:color w:val="auto"/>
        </w:rPr>
      </w:pPr>
    </w:p>
    <w:p>
      <w:pPr>
        <w:jc w:val="both"/>
        <w:ind w:right="400" w:firstLine="228"/>
        <w:spacing w:after="0" w:line="295" w:lineRule="auto"/>
        <w:rPr>
          <w:rFonts w:ascii="Arial" w:cs="Arial" w:eastAsia="Arial" w:hAnsi="Arial"/>
          <w:sz w:val="18"/>
          <w:szCs w:val="18"/>
          <w:color w:val="auto"/>
        </w:rPr>
      </w:pPr>
      <w:r>
        <w:rPr>
          <w:rFonts w:ascii="Arial" w:cs="Arial" w:eastAsia="Arial" w:hAnsi="Arial"/>
          <w:sz w:val="16"/>
          <w:szCs w:val="16"/>
          <w:color w:val="auto"/>
        </w:rPr>
        <w:t xml:space="preserve">(ii) </w:t>
      </w:r>
      <w:r>
        <w:rPr>
          <w:rFonts w:ascii="Arial" w:cs="Arial" w:eastAsia="Arial" w:hAnsi="Arial"/>
          <w:sz w:val="16"/>
          <w:szCs w:val="16"/>
          <w:u w:val="single" w:color="auto"/>
          <w:color w:val="auto"/>
        </w:rPr>
        <w:t>Computation of Asset Value and Fair Market Value for Purposes of Section 2.</w:t>
      </w:r>
      <w:r>
        <w:rPr>
          <w:rFonts w:ascii="Arial" w:cs="Arial" w:eastAsia="Arial" w:hAnsi="Arial"/>
          <w:sz w:val="16"/>
          <w:szCs w:val="16"/>
          <w:color w:val="auto"/>
        </w:rPr>
        <w:t xml:space="preserve"> To the extent that the Company shall distribute Assets other than cash, except as herein otherwise expressly provided, then the value of such Assets shall be determined by mutual agreement of the Independent Directors and the holders of not less than 50% in interest of all outstanding warrants to purchase Common Shares containing this provision, or, if they shall fail to agree, by an Investment Bank. The “</w:t>
      </w:r>
      <w:r>
        <w:rPr>
          <w:rFonts w:ascii="Arial" w:cs="Arial" w:eastAsia="Arial" w:hAnsi="Arial"/>
          <w:sz w:val="16"/>
          <w:szCs w:val="16"/>
          <w:u w:val="single" w:color="auto"/>
          <w:color w:val="auto"/>
        </w:rPr>
        <w:t>Fair Market Value</w:t>
      </w:r>
      <w:r>
        <w:rPr>
          <w:rFonts w:ascii="Arial" w:cs="Arial" w:eastAsia="Arial" w:hAnsi="Arial"/>
          <w:sz w:val="16"/>
          <w:szCs w:val="16"/>
          <w:color w:val="auto"/>
        </w:rPr>
        <w:t>” of the Common Shares at any given time shall mean (a) if the Common Shares are listed 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w:t>
      </w:r>
    </w:p>
    <w:p>
      <w:pPr>
        <w:spacing w:after="0" w:line="90"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securities exchange (or quoted in a securities quotation system), the average closing sale price of the Common Shares on such exchange (or in such quotation system), or, if the Common Shares are listed on (or quoted in) more than one exchange (or quotation system), the average closing sale price of the Common Shares on the principal securities exchange (or quotation system) on which the Common Shares are then traded, or, if the Common Shares are not then listed on a securities exchange (or quotation system) but are traded in the over-the-counter market, the average of the latest bid and asked quotations for the Common Shares in such market, in each case for the last five trading days immediately preceding the day on which such Fair Market Value is determined in accordance with the applicable provision of this Section 2 or (b) if no such closing sales prices or quotations are available because such shares are not publicly traded or otherwise, the fair value of such shares as determined by mutual agreement of the Independent Directors and the holders of not less than 50% in interest of all outstanding warrants to purchase Common Shares containing this provision, or, if they shall fail to agree, by an Investment Bank. As used herein, the term “</w:t>
      </w:r>
      <w:r>
        <w:rPr>
          <w:rFonts w:ascii="Arial" w:cs="Arial" w:eastAsia="Arial" w:hAnsi="Arial"/>
          <w:sz w:val="16"/>
          <w:szCs w:val="16"/>
          <w:u w:val="single" w:color="auto"/>
          <w:color w:val="auto"/>
        </w:rPr>
        <w:t>Independent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Director</w:t>
      </w:r>
      <w:r>
        <w:rPr>
          <w:rFonts w:ascii="Arial" w:cs="Arial" w:eastAsia="Arial" w:hAnsi="Arial"/>
          <w:sz w:val="16"/>
          <w:szCs w:val="16"/>
          <w:color w:val="auto"/>
        </w:rPr>
        <w:t>” shall mean each member of the Board of Directors of the Company that is not (x) a director, officer or employee of any Warrant Holder or any affiliate of any Warrant Holder, (y) the holder of a 10% or greater equity interest in any Warrant Holder or any affiliate of any Warrant Holder or (z) a member of the immediate family of any director, officer or employee of any Warrant Holder or any holder of a 10% or greater equity interest in any such Warrant Holder or any affiliate of any Warrant Holder.</w:t>
      </w:r>
    </w:p>
    <w:p>
      <w:pPr>
        <w:spacing w:after="0" w:line="5" w:lineRule="exact"/>
        <w:rPr>
          <w:sz w:val="20"/>
          <w:szCs w:val="20"/>
          <w:color w:val="auto"/>
        </w:rPr>
      </w:pPr>
    </w:p>
    <w:p>
      <w:pPr>
        <w:ind w:right="480" w:firstLine="236"/>
        <w:spacing w:after="0" w:line="250" w:lineRule="auto"/>
        <w:tabs>
          <w:tab w:leader="none" w:pos="535"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When Adjustment To Be Made.</w:t>
      </w:r>
      <w:r>
        <w:rPr>
          <w:rFonts w:ascii="Arial" w:cs="Arial" w:eastAsia="Arial" w:hAnsi="Arial"/>
          <w:sz w:val="18"/>
          <w:szCs w:val="18"/>
          <w:color w:val="auto"/>
        </w:rPr>
        <w:t xml:space="preserve"> The adjustments required by this Section 2 shall be made whenever and as often as any specified event requiring an adjustment shall occur. For the purpose of any adjustment, any specified event shall be deemed to have occurred at the close of business on the date of its occurrence.</w:t>
      </w:r>
    </w:p>
    <w:p>
      <w:pPr>
        <w:spacing w:after="0" w:line="1" w:lineRule="exact"/>
        <w:rPr>
          <w:rFonts w:ascii="Arial" w:cs="Arial" w:eastAsia="Arial" w:hAnsi="Arial"/>
          <w:sz w:val="18"/>
          <w:szCs w:val="18"/>
          <w:color w:val="auto"/>
        </w:rPr>
      </w:pPr>
    </w:p>
    <w:p>
      <w:pPr>
        <w:ind w:right="320" w:firstLine="236"/>
        <w:spacing w:after="0" w:line="250" w:lineRule="auto"/>
        <w:tabs>
          <w:tab w:leader="none" w:pos="525"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Fractional Interest: Rounding.</w:t>
      </w:r>
      <w:r>
        <w:rPr>
          <w:rFonts w:ascii="Arial" w:cs="Arial" w:eastAsia="Arial" w:hAnsi="Arial"/>
          <w:sz w:val="18"/>
          <w:szCs w:val="18"/>
          <w:color w:val="auto"/>
        </w:rPr>
        <w:t xml:space="preserve"> In computing adjustments under this Section 2, fractional interests in Common Shares shall be taken into account to the nearest 1/10th of a share, and adjustments in the Exercise Price shall be made to the nearest $ .001.</w:t>
      </w:r>
    </w:p>
    <w:p>
      <w:pPr>
        <w:ind w:right="60" w:firstLine="236"/>
        <w:spacing w:after="0" w:line="250" w:lineRule="auto"/>
        <w:tabs>
          <w:tab w:leader="none" w:pos="477"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Certain Exclusions.</w:t>
      </w:r>
      <w:r>
        <w:rPr>
          <w:rFonts w:ascii="Arial" w:cs="Arial" w:eastAsia="Arial" w:hAnsi="Arial"/>
          <w:sz w:val="18"/>
          <w:szCs w:val="18"/>
          <w:color w:val="auto"/>
        </w:rPr>
        <w:t xml:space="preserve"> No adjustment in the number of Common Shares purchasable under this Warrant or the Exercise Price therefor shall be made as a result of (x) any adjustment in the number of Common Shares purchasable under any other Warrant or the exercise price thereunder, or (y) for the issuance of any employee stock options or any Common Shares issuable under employee stock options, employee stock purchase plans, or any other form of equity based compensation granted to employees of the Company.</w:t>
      </w:r>
    </w:p>
    <w:p>
      <w:pPr>
        <w:spacing w:after="0" w:line="1" w:lineRule="exact"/>
        <w:rPr>
          <w:rFonts w:ascii="Arial" w:cs="Arial" w:eastAsia="Arial" w:hAnsi="Arial"/>
          <w:sz w:val="18"/>
          <w:szCs w:val="18"/>
          <w:color w:val="auto"/>
        </w:rPr>
      </w:pPr>
    </w:p>
    <w:p>
      <w:pPr>
        <w:ind w:left="540" w:hanging="30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Computation of Consideration.</w:t>
      </w:r>
      <w:r>
        <w:rPr>
          <w:rFonts w:ascii="Arial" w:cs="Arial" w:eastAsia="Arial" w:hAnsi="Arial"/>
          <w:sz w:val="18"/>
          <w:szCs w:val="18"/>
          <w:color w:val="auto"/>
        </w:rPr>
        <w:t xml:space="preserve"> For the purposes of this Section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w:t>
      </w:r>
    </w:p>
    <w:p>
      <w:pPr>
        <w:spacing w:after="0" w:line="90" w:lineRule="exact"/>
        <w:rPr>
          <w:sz w:val="20"/>
          <w:szCs w:val="20"/>
          <w:color w:val="auto"/>
        </w:rPr>
      </w:pPr>
    </w:p>
    <w:p>
      <w:pPr>
        <w:ind w:left="520" w:hanging="284"/>
        <w:spacing w:after="0"/>
        <w:tabs>
          <w:tab w:leader="none" w:pos="5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consideration for the issue or sale of any additional Common Shares shall, irrespective of the accounting treatment of such consideration,</w:t>
      </w:r>
    </w:p>
    <w:p>
      <w:pPr>
        <w:spacing w:after="0" w:line="38"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(x) insofar as it consists of cash, be computed at the net amount of cash received by the Company,</w:t>
      </w:r>
    </w:p>
    <w:p>
      <w:pPr>
        <w:spacing w:after="0" w:line="9"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5"/>
          <w:szCs w:val="15"/>
          <w:color w:val="auto"/>
        </w:rPr>
        <w:t>(y) insofar as it consists of property (including securities) other than cash, be computed at the fair value thereof at the time of such issue or sale, as determined</w:t>
      </w:r>
    </w:p>
    <w:p>
      <w:pPr>
        <w:spacing w:after="0" w:line="44"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by mutual agreement of the Independent Directors and the holders of not less than 50% in interest of all outstanding warrants to purchase Common Shares containing adjustment provisions of like tenor to the applicable adjustment provision contained in this Warrant, or, if they shall fail to agree, by an Investment Bank, and</w:t>
      </w:r>
    </w:p>
    <w:p>
      <w:pPr>
        <w:spacing w:after="0" w:line="1" w:lineRule="exact"/>
        <w:rPr>
          <w:sz w:val="20"/>
          <w:szCs w:val="20"/>
          <w:color w:val="auto"/>
        </w:rPr>
      </w:pPr>
    </w:p>
    <w:p>
      <w:pPr>
        <w:ind w:left="480" w:hanging="244"/>
        <w:spacing w:after="0"/>
        <w:tabs>
          <w:tab w:leader="none" w:pos="4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 case additional Common Shares are issued or sold together with other stock or securities or other assets of the Company for a consideration which</w:t>
      </w:r>
    </w:p>
    <w:p>
      <w:pPr>
        <w:spacing w:after="0" w:line="32" w:lineRule="exact"/>
        <w:rPr>
          <w:rFonts w:ascii="Arial" w:cs="Arial" w:eastAsia="Arial" w:hAnsi="Arial"/>
          <w:sz w:val="16"/>
          <w:szCs w:val="16"/>
          <w:color w:val="auto"/>
        </w:rPr>
      </w:pPr>
    </w:p>
    <w:p>
      <w:pPr>
        <w:ind w:right="40"/>
        <w:spacing w:after="0" w:line="250" w:lineRule="auto"/>
        <w:rPr>
          <w:rFonts w:ascii="Arial" w:cs="Arial" w:eastAsia="Arial" w:hAnsi="Arial"/>
          <w:sz w:val="16"/>
          <w:szCs w:val="16"/>
          <w:color w:val="auto"/>
        </w:rPr>
      </w:pPr>
      <w:r>
        <w:rPr>
          <w:rFonts w:ascii="Arial" w:cs="Arial" w:eastAsia="Arial" w:hAnsi="Arial"/>
          <w:sz w:val="18"/>
          <w:szCs w:val="18"/>
          <w:color w:val="auto"/>
        </w:rPr>
        <w:t>covers both, be the portion of such consideration so received, computed as provided in clauses (x) and (y) above, allocable to such additional Common Shares, all as determined in good faith by mutual agreement of the Independent Directors and the holders of not less than 50% in interest of all outstanding warrants to purchase Common Shares containing adjustment provisions of like tenor to the applicable adjustment provision contained in this Warrant, or, if they shall fail to agree, by an Investment Bank;</w:t>
      </w:r>
    </w:p>
    <w:p>
      <w:pPr>
        <w:spacing w:after="0" w:line="1" w:lineRule="exact"/>
        <w:rPr>
          <w:rFonts w:ascii="Arial" w:cs="Arial" w:eastAsia="Arial" w:hAnsi="Arial"/>
          <w:sz w:val="16"/>
          <w:szCs w:val="16"/>
          <w:color w:val="auto"/>
        </w:rPr>
      </w:pPr>
    </w:p>
    <w:p>
      <w:pPr>
        <w:ind w:right="100" w:firstLine="228"/>
        <w:spacing w:after="0" w:line="250" w:lineRule="auto"/>
        <w:rPr>
          <w:rFonts w:ascii="Arial" w:cs="Arial" w:eastAsia="Arial" w:hAnsi="Arial"/>
          <w:sz w:val="16"/>
          <w:szCs w:val="16"/>
          <w:color w:val="auto"/>
        </w:rPr>
      </w:pPr>
      <w:r>
        <w:rPr>
          <w:rFonts w:ascii="Arial" w:cs="Arial" w:eastAsia="Arial" w:hAnsi="Arial"/>
          <w:sz w:val="18"/>
          <w:szCs w:val="18"/>
          <w:color w:val="auto"/>
        </w:rPr>
        <w:t>(B) additional Common Shares deemed, pursuant to Section 2(c), to have been issued, relating to Options and Convertible Securities, shall be deemed to have been issued for a consideration per share determined by dividing</w:t>
      </w:r>
    </w:p>
    <w:p>
      <w:pPr>
        <w:ind w:right="180" w:firstLine="236"/>
        <w:spacing w:after="0" w:line="252" w:lineRule="auto"/>
        <w:tabs>
          <w:tab w:leader="none" w:pos="47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total amount, if any, received and receivable by the Company as consideration for the issue, sale, grant or assumption of the Options or Convertible Securities in question, plus the minimum aggregate amount of additional consideration (as set forth in the instruments relating thereto, without regard to any provision contained therein for a subsequent adjustment of such consideration to protect against dilution) payable to the Company upon the exercise in full of such Options or the conversion or exchange of such Convertible Securities or, in the case of Options for Convertible Securities, the exercise of such Options for Convertible Securities and the conversion or exchange of such Convertible Securities, in each case computing such consideration as provided in the foregoing subdivision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0" w:lineRule="exact"/>
        <w:rPr>
          <w:sz w:val="20"/>
          <w:szCs w:val="20"/>
          <w:color w:val="auto"/>
        </w:rPr>
      </w:pPr>
    </w:p>
    <w:p>
      <w:pPr>
        <w:ind w:right="760" w:firstLine="236"/>
        <w:spacing w:after="0" w:line="305" w:lineRule="auto"/>
        <w:tabs>
          <w:tab w:leader="none" w:pos="477" w:val="left"/>
        </w:tabs>
        <w:numPr>
          <w:ilvl w:val="1"/>
          <w:numId w:val="123"/>
        </w:numPr>
        <w:rPr>
          <w:rFonts w:ascii="Arial" w:cs="Arial" w:eastAsia="Arial" w:hAnsi="Arial"/>
          <w:sz w:val="15"/>
          <w:szCs w:val="15"/>
          <w:color w:val="auto"/>
        </w:rPr>
      </w:pPr>
      <w:r>
        <w:rPr>
          <w:rFonts w:ascii="Arial" w:cs="Arial" w:eastAsia="Arial" w:hAnsi="Arial"/>
          <w:sz w:val="15"/>
          <w:szCs w:val="15"/>
          <w:color w:val="auto"/>
        </w:rPr>
        <w:t>the maximum number of Common Shares (as set forth in the instruments relating thereto, without regard to any provision contained therein for a subsequent adjustment of such number) issuable upon the exercise of such Options or the conversion or exchange of such Convertible Securities; and</w:t>
      </w:r>
    </w:p>
    <w:p>
      <w:pPr>
        <w:ind w:right="160" w:firstLine="228"/>
        <w:spacing w:after="0" w:line="250" w:lineRule="auto"/>
        <w:rPr>
          <w:rFonts w:ascii="Arial" w:cs="Arial" w:eastAsia="Arial" w:hAnsi="Arial"/>
          <w:sz w:val="15"/>
          <w:szCs w:val="15"/>
          <w:color w:val="auto"/>
        </w:rPr>
      </w:pPr>
      <w:r>
        <w:rPr>
          <w:rFonts w:ascii="Arial" w:cs="Arial" w:eastAsia="Arial" w:hAnsi="Arial"/>
          <w:sz w:val="18"/>
          <w:szCs w:val="18"/>
          <w:color w:val="auto"/>
        </w:rPr>
        <w:t>(C) additional Common Shares deemed to have been issued pursuant to Section 2(a)(l), relating to stock dividends, stock splits, etc., shall be deemed to have been issued for no consideration.</w:t>
      </w:r>
    </w:p>
    <w:p>
      <w:pPr>
        <w:ind w:right="20" w:firstLine="464"/>
        <w:spacing w:after="0" w:line="300" w:lineRule="auto"/>
        <w:tabs>
          <w:tab w:leader="none" w:pos="695" w:val="left"/>
        </w:tabs>
        <w:numPr>
          <w:ilvl w:val="2"/>
          <w:numId w:val="123"/>
        </w:numPr>
        <w:rPr>
          <w:rFonts w:ascii="Arial" w:cs="Arial" w:eastAsia="Arial" w:hAnsi="Arial"/>
          <w:sz w:val="15"/>
          <w:szCs w:val="15"/>
          <w:color w:val="auto"/>
        </w:rPr>
      </w:pPr>
      <w:r>
        <w:rPr>
          <w:rFonts w:ascii="Arial" w:cs="Arial" w:eastAsia="Arial" w:hAnsi="Arial"/>
          <w:sz w:val="15"/>
          <w:szCs w:val="15"/>
          <w:u w:val="single" w:color="auto"/>
          <w:color w:val="auto"/>
        </w:rPr>
        <w:t>Treatment of Options and Convertible Securities.</w:t>
      </w:r>
      <w:r>
        <w:rPr>
          <w:rFonts w:ascii="Arial" w:cs="Arial" w:eastAsia="Arial" w:hAnsi="Arial"/>
          <w:sz w:val="15"/>
          <w:szCs w:val="15"/>
          <w:color w:val="auto"/>
        </w:rPr>
        <w:t xml:space="preserve"> In case the Company at any time or from time to time after the date hereof shall issue, sell, grant or assume, or shall fix a record date for the determination of holders of any class of securities of the Company other than the Common Shares entitled to receive, any</w:t>
      </w:r>
    </w:p>
    <w:p>
      <w:pPr>
        <w:ind w:left="260" w:hanging="252"/>
        <w:spacing w:after="0"/>
        <w:tabs>
          <w:tab w:leader="none" w:pos="2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options, warrants or other rights to purchase Common Shares (other than options granted to employees) or Convertible Securities (as defined below)</w:t>
      </w:r>
    </w:p>
    <w:p>
      <w:pPr>
        <w:spacing w:after="0" w:line="32"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Options</w:t>
      </w:r>
      <w:r>
        <w:rPr>
          <w:rFonts w:ascii="Arial" w:cs="Arial" w:eastAsia="Arial" w:hAnsi="Arial"/>
          <w:sz w:val="16"/>
          <w:szCs w:val="16"/>
          <w:color w:val="auto"/>
        </w:rPr>
        <w:t>”) or (y) securities convertible into or exchangeable for Common Shares (“</w:t>
      </w:r>
      <w:r>
        <w:rPr>
          <w:rFonts w:ascii="Arial" w:cs="Arial" w:eastAsia="Arial" w:hAnsi="Arial"/>
          <w:sz w:val="16"/>
          <w:szCs w:val="16"/>
          <w:u w:val="single" w:color="auto"/>
          <w:color w:val="auto"/>
        </w:rPr>
        <w:t>Convertible Securities</w:t>
      </w:r>
      <w:r>
        <w:rPr>
          <w:rFonts w:ascii="Arial" w:cs="Arial" w:eastAsia="Arial" w:hAnsi="Arial"/>
          <w:sz w:val="16"/>
          <w:szCs w:val="16"/>
          <w:color w:val="auto"/>
        </w:rPr>
        <w:t xml:space="preserve">”), then, and in each such case, the maximum number of additional Common Shares (as set forth in the instrument relating thereto, without regard to any provisions contained therein for a subsequent adjustment of such number) issuable upon the exercise of such Options or, in the case of Convertible Securities and Options therefor, the conversion or exchange of such Convertible Securities, shall be deemed for purposes of Section 2(a)(2) to be additional Common Shares issued as of the time of such issue, sale, grant or assumption or, in case such a record date shall have been fixed, as of the close of business on such record date (or, if the Common Shares trade on an ex-dividend basis, on the date prior to the commencement of ex-dividend trading);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additional Common Shares shall not be deemed to have been issued unless the consideration per share (determined pursuant to section 2(b)(vi)) would be less than the Fair Market Value on the date immediately prior to such issue, sale, grant or assumption or immediately prior to the close of business on such record date (or, if the Common Shares trade on an ex-dividend basis, on the date prior to the commencement of ex-dividend trading), as the case may be,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any such case in which additional Common Shares are deemed to be issued:</w:t>
      </w:r>
    </w:p>
    <w:p>
      <w:pPr>
        <w:spacing w:after="0" w:line="7" w:lineRule="exact"/>
        <w:rPr>
          <w:sz w:val="20"/>
          <w:szCs w:val="20"/>
          <w:color w:val="auto"/>
        </w:rPr>
      </w:pPr>
    </w:p>
    <w:p>
      <w:pPr>
        <w:ind w:right="500" w:firstLine="464"/>
        <w:spacing w:after="0" w:line="250" w:lineRule="auto"/>
        <w:tabs>
          <w:tab w:leader="none" w:pos="66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further adjustment of the Exercise Price shall be made upon the subsequent issue or sale of Convertible Securities or Common Shares upon the exercise of such Options or the conversion or exchange of such Convertible Securities;</w:t>
      </w:r>
    </w:p>
    <w:p>
      <w:pPr>
        <w:ind w:right="40" w:firstLine="464"/>
        <w:spacing w:after="0" w:line="331" w:lineRule="auto"/>
        <w:tabs>
          <w:tab w:leader="none" w:pos="715" w:val="left"/>
        </w:tabs>
        <w:numPr>
          <w:ilvl w:val="0"/>
          <w:numId w:val="125"/>
        </w:numPr>
        <w:rPr>
          <w:rFonts w:ascii="Arial" w:cs="Arial" w:eastAsia="Arial" w:hAnsi="Arial"/>
          <w:sz w:val="15"/>
          <w:szCs w:val="15"/>
          <w:color w:val="auto"/>
        </w:rPr>
      </w:pPr>
      <w:r>
        <w:rPr>
          <w:rFonts w:ascii="Arial" w:cs="Arial" w:eastAsia="Arial" w:hAnsi="Arial"/>
          <w:sz w:val="15"/>
          <w:szCs w:val="15"/>
          <w:color w:val="auto"/>
        </w:rPr>
        <w:t>if such Options or Convertible Securities by their terms provide, with the passage of time or otherwise, for any increase or decrease in the consideration payable to the Company, or decrease or increase in the number of additional Common Shares issuable, upon the exercise, conversion or exchange thereof (by change of rate or otherwise), the Exercise Price computed upon the original issue, sale, grant or assumption thereof (or upon the occurrence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99" w:name="page200"/>
    <w:bookmarkEnd w:id="199"/>
    <w:p>
      <w:pPr>
        <w:ind w:left="112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w:t>
      </w:r>
    </w:p>
    <w:p>
      <w:pPr>
        <w:spacing w:after="0" w:line="113" w:lineRule="exact"/>
        <w:rPr>
          <w:sz w:val="20"/>
          <w:szCs w:val="20"/>
          <w:color w:val="auto"/>
        </w:rPr>
      </w:pPr>
    </w:p>
    <w:p>
      <w:pPr>
        <w:jc w:val="both"/>
        <w:ind w:right="40"/>
        <w:spacing w:after="0" w:line="284" w:lineRule="auto"/>
        <w:rPr>
          <w:sz w:val="20"/>
          <w:szCs w:val="20"/>
          <w:color w:val="auto"/>
        </w:rPr>
      </w:pPr>
      <w:r>
        <w:rPr>
          <w:rFonts w:ascii="Arial" w:cs="Arial" w:eastAsia="Arial" w:hAnsi="Arial"/>
          <w:sz w:val="16"/>
          <w:szCs w:val="16"/>
          <w:color w:val="auto"/>
        </w:rPr>
        <w:t>record date, or date prior to the commencement of ex-dividend trading, as the case may be, with respect thereto), and any subsequent adjustments based thereon, shall, upon any such increase or decrease becoming effective, be recomputed to reflect such increase or decrease insofar as it affects such Options, or the rights of conversion or exchange under such Convertible Securities, which are outstanding at such time;</w:t>
      </w:r>
    </w:p>
    <w:p>
      <w:pPr>
        <w:spacing w:after="0" w:line="1" w:lineRule="exact"/>
        <w:rPr>
          <w:sz w:val="20"/>
          <w:szCs w:val="20"/>
          <w:color w:val="auto"/>
        </w:rPr>
      </w:pPr>
    </w:p>
    <w:p>
      <w:pPr>
        <w:ind w:right="80" w:firstLine="236"/>
        <w:spacing w:after="0" w:line="250" w:lineRule="auto"/>
        <w:tabs>
          <w:tab w:leader="none" w:pos="53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upon the expiration (or purchase by the Company and cancellation or retirement) of any such Options which shall not have been exercised or the expiration of any rights of conversion or exchange under any such Convertible Securities which (or purchase by the Company and cancellation or retirement of any such Convertible Securities the rights of conversion or exchange under which) shall not have been exercised, the Exercise Price computed upon the original issue, sale, grant or assumption thereof (or upon the occurrence of the record date, or date prior to the commencement of ex-dividend trading, as the case may be, with respect thereto), and any subsequent adjustments based thereon, shall, upon such expiration (or such cancellation or retirement, as the case may be), be recomputed as if:</w:t>
      </w:r>
    </w:p>
    <w:p>
      <w:pPr>
        <w:spacing w:after="0" w:line="2" w:lineRule="exact"/>
        <w:rPr>
          <w:rFonts w:ascii="Arial" w:cs="Arial" w:eastAsia="Arial" w:hAnsi="Arial"/>
          <w:sz w:val="18"/>
          <w:szCs w:val="18"/>
          <w:color w:val="auto"/>
        </w:rPr>
      </w:pPr>
    </w:p>
    <w:p>
      <w:pPr>
        <w:ind w:right="100" w:firstLine="228"/>
        <w:spacing w:after="0" w:line="281" w:lineRule="auto"/>
        <w:rPr>
          <w:rFonts w:ascii="Arial" w:cs="Arial" w:eastAsia="Arial" w:hAnsi="Arial"/>
          <w:sz w:val="18"/>
          <w:szCs w:val="18"/>
          <w:color w:val="auto"/>
        </w:rPr>
      </w:pPr>
      <w:r>
        <w:rPr>
          <w:rFonts w:ascii="Arial" w:cs="Arial" w:eastAsia="Arial" w:hAnsi="Arial"/>
          <w:sz w:val="16"/>
          <w:szCs w:val="16"/>
          <w:color w:val="auto"/>
        </w:rPr>
        <w:t>(A) in the case of Options for Common Shares or Convertible Securities, the only additional Common Shares issued or sold were the additional Common Shares, if any, actually issued or sold upon the exercise of such Options or the conversion or exchange of such Convertible Securities and the consideration received therefor was (x) an amount equal to (1) the consideration actually received by the Company for the issue, sale, grant or assumption of all such Options, whether or not exercised, plus (2) the consideration actually received by the Company upon such exercise, minus (3) the consideration paid by the Company for any purchase of such Options which were not exercised, or (y) an amount equal to (1) the consideration actually received by the Company for the issue or sale of all such Convertible Securities which were actually converted or exchanged, plus (2) the additional consideration, if any, actually received by the Company upon such conversion or exchange, minus (3) the consideration paid by the Company for any purchase of such Convertible Securities the rights of conversion or exchange under which were not exercised, and</w:t>
      </w:r>
    </w:p>
    <w:p>
      <w:pPr>
        <w:spacing w:after="0" w:line="5" w:lineRule="exact"/>
        <w:rPr>
          <w:rFonts w:ascii="Arial" w:cs="Arial" w:eastAsia="Arial" w:hAnsi="Arial"/>
          <w:sz w:val="18"/>
          <w:szCs w:val="18"/>
          <w:color w:val="auto"/>
        </w:rPr>
      </w:pPr>
    </w:p>
    <w:p>
      <w:pPr>
        <w:ind w:right="120" w:firstLine="228"/>
        <w:spacing w:after="0" w:line="292" w:lineRule="auto"/>
        <w:rPr>
          <w:rFonts w:ascii="Arial" w:cs="Arial" w:eastAsia="Arial" w:hAnsi="Arial"/>
          <w:sz w:val="18"/>
          <w:szCs w:val="18"/>
          <w:color w:val="auto"/>
        </w:rPr>
      </w:pPr>
      <w:r>
        <w:rPr>
          <w:rFonts w:ascii="Arial" w:cs="Arial" w:eastAsia="Arial" w:hAnsi="Arial"/>
          <w:sz w:val="16"/>
          <w:szCs w:val="16"/>
          <w:color w:val="auto"/>
        </w:rPr>
        <w:t>(B) in the case of Options for Convertible Securities, only the Convertible Securities, if any, actually issued or sold upon the exercise of such Options were issued at the time of the issue, sale, grant or assumption of such Options, and the consideration received by the Company for the additional Common Shares deemed to have then been issued was an amount equal to (x) the consideration actually received by the Company for the issue, sale, grant or assumption of all such Options, whether or not exercised, plus (y) the consideration deemed to have been received by the Company (pursuant to section 2(b)(vi)) upon the issue or sale of such Convertible Securities with respect to which such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were actually exercised, minus (z) the consideration paid by the Company for any purchase of such Options which were not exercised;</w:t>
      </w:r>
    </w:p>
    <w:p>
      <w:pPr>
        <w:spacing w:after="0" w:line="15" w:lineRule="exact"/>
        <w:rPr>
          <w:sz w:val="20"/>
          <w:szCs w:val="20"/>
          <w:color w:val="auto"/>
        </w:rPr>
      </w:pPr>
    </w:p>
    <w:p>
      <w:pPr>
        <w:ind w:right="260" w:firstLine="236"/>
        <w:spacing w:after="0" w:line="281" w:lineRule="auto"/>
        <w:tabs>
          <w:tab w:leader="none" w:pos="52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no readjustment pursuant to subdivision (ii) or (iii) above shall have the effect of increasing the Exercise Price by an amount in excess of the amount of the adjustment thereof originally made in respect of the issue, sale, grant or assumption of such Options or Convertible Securities; and</w:t>
      </w:r>
    </w:p>
    <w:p>
      <w:pPr>
        <w:spacing w:after="0" w:line="1" w:lineRule="exact"/>
        <w:rPr>
          <w:rFonts w:ascii="Arial" w:cs="Arial" w:eastAsia="Arial" w:hAnsi="Arial"/>
          <w:sz w:val="16"/>
          <w:szCs w:val="16"/>
          <w:color w:val="auto"/>
        </w:rPr>
      </w:pPr>
    </w:p>
    <w:p>
      <w:pPr>
        <w:ind w:right="160" w:firstLine="236"/>
        <w:spacing w:after="0" w:line="250" w:lineRule="auto"/>
        <w:tabs>
          <w:tab w:leader="none" w:pos="47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the case of any such Options which expire by their terms not more than 30 days after the date of issue, sale, grant or assumption thereof, no adjustment of the Exercise Price shall be made until the expiration or exercise of all such Options, whereupon such adjustment shall be made in the manner provided in subdivision (iii) above.</w:t>
      </w:r>
    </w:p>
    <w:p>
      <w:pPr>
        <w:spacing w:after="0" w:line="1" w:lineRule="exact"/>
        <w:rPr>
          <w:rFonts w:ascii="Arial" w:cs="Arial" w:eastAsia="Arial" w:hAnsi="Arial"/>
          <w:sz w:val="18"/>
          <w:szCs w:val="18"/>
          <w:color w:val="auto"/>
        </w:rPr>
      </w:pPr>
    </w:p>
    <w:p>
      <w:pPr>
        <w:ind w:right="180" w:firstLine="464"/>
        <w:spacing w:after="0" w:line="281" w:lineRule="auto"/>
        <w:tabs>
          <w:tab w:leader="none" w:pos="705" w:val="left"/>
        </w:tabs>
        <w:numPr>
          <w:ilvl w:val="1"/>
          <w:numId w:val="127"/>
        </w:numPr>
        <w:rPr>
          <w:rFonts w:ascii="Arial" w:cs="Arial" w:eastAsia="Arial" w:hAnsi="Arial"/>
          <w:sz w:val="16"/>
          <w:szCs w:val="16"/>
          <w:color w:val="auto"/>
        </w:rPr>
      </w:pPr>
      <w:r>
        <w:rPr>
          <w:rFonts w:ascii="Arial" w:cs="Arial" w:eastAsia="Arial" w:hAnsi="Arial"/>
          <w:sz w:val="16"/>
          <w:szCs w:val="16"/>
          <w:u w:val="single" w:color="auto"/>
          <w:color w:val="auto"/>
        </w:rPr>
        <w:t>Other Dilutive Events.</w:t>
      </w:r>
      <w:r>
        <w:rPr>
          <w:rFonts w:ascii="Arial" w:cs="Arial" w:eastAsia="Arial" w:hAnsi="Arial"/>
          <w:sz w:val="16"/>
          <w:szCs w:val="16"/>
          <w:color w:val="auto"/>
        </w:rPr>
        <w:t xml:space="preserve"> In case any event shall occur as to which the provisions of Section 2 are not strictly applicable but the failure to make any adjustment would not fairly protect the purchase rights (including the rights provided under Section 2(a)(4)(C)) represented by this Warrant in accordance with the essential intent and principles of such Sections, then, in each such case, the Independent Directors of the Company shall appoint an Investment Bank, which shall give its opinion upon the adjustment, if any, on a basis consistent with the essential intent and principles established in Section 2, necessary to preserve, without dilution, the purchase rights represented by this Warrant. Upon receipt of such opinion, the Company will promptly mail a copy thereof to the holder of this Warrant and shall make the adjustments described therein.</w:t>
      </w:r>
    </w:p>
    <w:p>
      <w:pPr>
        <w:spacing w:after="0" w:line="4" w:lineRule="exact"/>
        <w:rPr>
          <w:rFonts w:ascii="Arial" w:cs="Arial" w:eastAsia="Arial" w:hAnsi="Arial"/>
          <w:sz w:val="16"/>
          <w:szCs w:val="16"/>
          <w:color w:val="auto"/>
        </w:rPr>
      </w:pPr>
    </w:p>
    <w:p>
      <w:pPr>
        <w:ind w:right="20" w:firstLine="464"/>
        <w:spacing w:after="0" w:line="281" w:lineRule="auto"/>
        <w:tabs>
          <w:tab w:leader="none" w:pos="695" w:val="left"/>
        </w:tabs>
        <w:numPr>
          <w:ilvl w:val="1"/>
          <w:numId w:val="12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Immediately upon any adjustment of the Exercise Price, the Company shall give, or cause to be given, written notice thereof, executed by the Chief Financial Officer (or, if none, the Chief Executive Officer or President) of the Company, to the Warrant Holder, setting forth in reasonable detail and certifying the event requiring the adjustment, the method by which the adjustment was calculated, the number of Warrant Shares for which the Warrant is exercisable and the Exercise Price after giving effect to such adjustment. The Company shall keep at its registered office copies of all such written notices and cause the same to be available for inspection during normal business hours by the Warrant Holder. The Company shall give, or cause to be given, written notice to the Warrant Holder at least 10 days prior to the date on which the Company closes its books or takes a record (i) with respect to any dividend or distribution upon Common Shares, (ii) with respect to any pro rata subscription offer to holders of Common Shares or (iii) for determining rights to vote with respect to any transaction described in Section 2(a)(4), dissolution or liquidation. The Company shall also give, or cause to be given, written notice to the Warrant Holder at least 10 days prior to the date on which any transaction described in Section 2(a)(4) shall take place.</w:t>
      </w:r>
    </w:p>
    <w:p>
      <w:pPr>
        <w:spacing w:after="0" w:line="6" w:lineRule="exact"/>
        <w:rPr>
          <w:rFonts w:ascii="Arial" w:cs="Arial" w:eastAsia="Arial" w:hAnsi="Arial"/>
          <w:sz w:val="16"/>
          <w:szCs w:val="16"/>
          <w:color w:val="auto"/>
        </w:rPr>
      </w:pPr>
    </w:p>
    <w:p>
      <w:pPr>
        <w:ind w:right="240" w:firstLine="456"/>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Exercise of Warrant.</w:t>
      </w:r>
      <w:r>
        <w:rPr>
          <w:rFonts w:ascii="Arial" w:cs="Arial" w:eastAsia="Arial" w:hAnsi="Arial"/>
          <w:sz w:val="18"/>
          <w:szCs w:val="18"/>
          <w:color w:val="auto"/>
        </w:rPr>
        <w:t xml:space="preserve"> (a) </w:t>
      </w:r>
      <w:r>
        <w:rPr>
          <w:rFonts w:ascii="Arial" w:cs="Arial" w:eastAsia="Arial" w:hAnsi="Arial"/>
          <w:sz w:val="18"/>
          <w:szCs w:val="18"/>
          <w:u w:val="single" w:color="auto"/>
          <w:color w:val="auto"/>
        </w:rPr>
        <w:t>Exercise Procedure.</w:t>
      </w:r>
      <w:r>
        <w:rPr>
          <w:rFonts w:ascii="Arial" w:cs="Arial" w:eastAsia="Arial" w:hAnsi="Arial"/>
          <w:sz w:val="18"/>
          <w:szCs w:val="18"/>
          <w:color w:val="auto"/>
        </w:rPr>
        <w:t xml:space="preserve"> The Warrant Holder may exercise all or a portion of this Warrant for all or a portion of the Warrant Shares at any time and from time to time commencing after the date hereof until 3:30 p.m. New York City time, on the Expiration Date by irrevocably surrendering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w:t>
      </w:r>
    </w:p>
    <w:p>
      <w:pPr>
        <w:spacing w:after="0" w:line="90"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 xml:space="preserve">registered office of the Company this Warrant and a completed Exercise Agreement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setting forth the number of Warrant Shares being exercised, and by paying the Exercise Price in one of the following manners:</w:t>
      </w:r>
    </w:p>
    <w:p>
      <w:pPr>
        <w:ind w:right="60" w:firstLine="236"/>
        <w:spacing w:after="0" w:line="250" w:lineRule="auto"/>
        <w:tabs>
          <w:tab w:leader="none" w:pos="438"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Cash Exercise.</w:t>
      </w:r>
      <w:r>
        <w:rPr>
          <w:rFonts w:ascii="Arial" w:cs="Arial" w:eastAsia="Arial" w:hAnsi="Arial"/>
          <w:sz w:val="18"/>
          <w:szCs w:val="18"/>
          <w:color w:val="auto"/>
        </w:rPr>
        <w:t xml:space="preserve"> The Warrant Holder shall deliver to the Company by wire transfer of immediately available funds an amount equal to the Exercise Price per Warrant Share exercised in the Exercise Agreement; or</w:t>
      </w:r>
    </w:p>
    <w:p>
      <w:pPr>
        <w:ind w:right="140" w:firstLine="236"/>
        <w:spacing w:after="0" w:line="250" w:lineRule="auto"/>
        <w:tabs>
          <w:tab w:leader="none" w:pos="486"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After the date of issuance of this Warrant, if the Common Shares are listed on a national securities exchange, automated quotation system or are available for sale in the over-the-counter market, the Warrant Holder shall have the right to surrender this Warrant to the Company (including that portion of the Warrant in payment of the Exercise Price to effect such cashless exercise) together with a notice of cashless exercise, in which event the Company shall exchange such portion of the Warrant subject to the Exercise Agreement, as the circumstances require in order for such number of Common Shares to be issued, determined as follows:</w:t>
      </w:r>
    </w:p>
    <w:p>
      <w:pPr>
        <w:spacing w:after="0" w:line="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 = Y multiplied by (A-B)/A where: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 = the number of Common Shares to be issued to the Warrant Holder</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Y = the number of Warrant Shares with respect to which this Warrant is being exercised in the Exercise Agreement</w:t>
      </w:r>
    </w:p>
    <w:p>
      <w:pPr>
        <w:spacing w:after="0" w:line="9" w:lineRule="exact"/>
        <w:rPr>
          <w:rFonts w:ascii="Arial" w:cs="Arial" w:eastAsia="Arial" w:hAnsi="Arial"/>
          <w:sz w:val="18"/>
          <w:szCs w:val="18"/>
          <w:color w:val="auto"/>
        </w:rPr>
      </w:pPr>
    </w:p>
    <w:p>
      <w:pPr>
        <w:ind w:right="320"/>
        <w:spacing w:after="0" w:line="250" w:lineRule="auto"/>
        <w:rPr>
          <w:rFonts w:ascii="Arial" w:cs="Arial" w:eastAsia="Arial" w:hAnsi="Arial"/>
          <w:sz w:val="18"/>
          <w:szCs w:val="18"/>
          <w:color w:val="auto"/>
        </w:rPr>
      </w:pPr>
      <w:r>
        <w:rPr>
          <w:rFonts w:ascii="Arial" w:cs="Arial" w:eastAsia="Arial" w:hAnsi="Arial"/>
          <w:sz w:val="18"/>
          <w:szCs w:val="18"/>
          <w:color w:val="auto"/>
        </w:rPr>
        <w:t>A = the average of the per share Market Price of the Common Shares for the five (5) trading days immediately prior to (but not including) the date of exercise (but not less than the then par value of the Common Shares)</w:t>
      </w:r>
    </w:p>
    <w:p>
      <w:pPr>
        <w:spacing w:after="0"/>
        <w:rPr>
          <w:rFonts w:ascii="Arial" w:cs="Arial" w:eastAsia="Arial" w:hAnsi="Arial"/>
          <w:sz w:val="18"/>
          <w:szCs w:val="18"/>
          <w:color w:val="auto"/>
        </w:rPr>
      </w:pPr>
      <w:r>
        <w:rPr>
          <w:rFonts w:ascii="Arial" w:cs="Arial" w:eastAsia="Arial" w:hAnsi="Arial"/>
          <w:sz w:val="18"/>
          <w:szCs w:val="18"/>
          <w:color w:val="auto"/>
        </w:rPr>
        <w:t>B = the Exercise Price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If the foregoing calculation results in a negative number, then no Warrant Shares shall be issued.</w:t>
      </w:r>
    </w:p>
    <w:p>
      <w:pPr>
        <w:spacing w:after="0" w:line="9" w:lineRule="exact"/>
        <w:rPr>
          <w:rFonts w:ascii="Arial" w:cs="Arial" w:eastAsia="Arial" w:hAnsi="Arial"/>
          <w:sz w:val="18"/>
          <w:szCs w:val="18"/>
          <w:color w:val="auto"/>
        </w:rPr>
      </w:pPr>
    </w:p>
    <w:p>
      <w:pPr>
        <w:ind w:right="20"/>
        <w:spacing w:after="0" w:line="281" w:lineRule="auto"/>
        <w:rPr>
          <w:rFonts w:ascii="Arial" w:cs="Arial" w:eastAsia="Arial" w:hAnsi="Arial"/>
          <w:sz w:val="18"/>
          <w:szCs w:val="18"/>
          <w:color w:val="auto"/>
        </w:rPr>
      </w:pPr>
      <w:r>
        <w:rPr>
          <w:rFonts w:ascii="Arial" w:cs="Arial" w:eastAsia="Arial" w:hAnsi="Arial"/>
          <w:sz w:val="16"/>
          <w:szCs w:val="16"/>
          <w:color w:val="auto"/>
        </w:rPr>
        <w:t>For purposes of Rule 144 promulgated under the Securities Act only, it is intended, understood and acknowledged that the Warrant Shares issued in a cashless exercise transaction shall be deemed to have been acquired and the full purchase price therefor paid by the Warrant Holder, and the holding period for the Warrant Shares shall be deemed to have been commenced on the issue date to the extent permitted by Rule 144.</w:t>
      </w:r>
    </w:p>
    <w:p>
      <w:pPr>
        <w:spacing w:after="0" w:line="2" w:lineRule="exact"/>
        <w:rPr>
          <w:rFonts w:ascii="Arial" w:cs="Arial" w:eastAsia="Arial" w:hAnsi="Arial"/>
          <w:sz w:val="18"/>
          <w:szCs w:val="18"/>
          <w:color w:val="auto"/>
        </w:rPr>
      </w:pPr>
    </w:p>
    <w:p>
      <w:pPr>
        <w:jc w:val="both"/>
        <w:ind w:right="80"/>
        <w:spacing w:after="0" w:line="302" w:lineRule="auto"/>
        <w:rPr>
          <w:rFonts w:ascii="Arial" w:cs="Arial" w:eastAsia="Arial" w:hAnsi="Arial"/>
          <w:sz w:val="18"/>
          <w:szCs w:val="18"/>
          <w:color w:val="auto"/>
        </w:rPr>
      </w:pPr>
      <w:r>
        <w:rPr>
          <w:rFonts w:ascii="Arial" w:cs="Arial" w:eastAsia="Arial" w:hAnsi="Arial"/>
          <w:sz w:val="16"/>
          <w:szCs w:val="16"/>
          <w:color w:val="auto"/>
        </w:rPr>
        <w:t>For purposes hereof, “</w:t>
      </w:r>
      <w:r>
        <w:rPr>
          <w:rFonts w:ascii="Arial" w:cs="Arial" w:eastAsia="Arial" w:hAnsi="Arial"/>
          <w:sz w:val="16"/>
          <w:szCs w:val="16"/>
          <w:u w:val="single" w:color="auto"/>
          <w:color w:val="auto"/>
        </w:rPr>
        <w:t>Market Price</w:t>
      </w:r>
      <w:r>
        <w:rPr>
          <w:rFonts w:ascii="Arial" w:cs="Arial" w:eastAsia="Arial" w:hAnsi="Arial"/>
          <w:sz w:val="16"/>
          <w:szCs w:val="16"/>
          <w:color w:val="auto"/>
        </w:rPr>
        <w:t>” means on any particular date (i) the closing bid price per Common Share on such date on the national securities exchange or automated quotation system on which the Common Shares are then listed or if there is no such price on such date, then the closing bid price on such exchange or quotation system on the date nearest preceding such date, or (ii) if the Common Shares are not then listed on a 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w:t>
      </w:r>
    </w:p>
    <w:p>
      <w:pPr>
        <w:spacing w:after="0" w:line="90" w:lineRule="exact"/>
        <w:rPr>
          <w:sz w:val="20"/>
          <w:szCs w:val="20"/>
          <w:color w:val="auto"/>
        </w:rPr>
      </w:pPr>
    </w:p>
    <w:p>
      <w:pPr>
        <w:ind w:right="400"/>
        <w:spacing w:after="0" w:line="305" w:lineRule="auto"/>
        <w:rPr>
          <w:sz w:val="20"/>
          <w:szCs w:val="20"/>
          <w:color w:val="auto"/>
        </w:rPr>
      </w:pPr>
      <w:r>
        <w:rPr>
          <w:rFonts w:ascii="Arial" w:cs="Arial" w:eastAsia="Arial" w:hAnsi="Arial"/>
          <w:sz w:val="15"/>
          <w:szCs w:val="15"/>
          <w:color w:val="auto"/>
        </w:rPr>
        <w:t>securities exchange or automated quotation system, the closing bid price for each Common Share in the over-the-counter market, as reported by the National Quotation Bureau Incorporated (or similar organization or agency succeeding to its functions of reporting prices) at the close of business on such date.</w:t>
      </w:r>
    </w:p>
    <w:p>
      <w:pPr>
        <w:ind w:right="20" w:firstLine="464"/>
        <w:spacing w:after="0" w:line="250" w:lineRule="auto"/>
        <w:tabs>
          <w:tab w:leader="none" w:pos="70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shall cause certificates for the Warrant Shares to be issued in the name of and delivered to the Warrant Holder, or subject to the transfer restrictions referred to in the legend endorsed hereon, as the Warrant Holder may direct, as soon as practicable and in any event within ten (10) business days after receipt by the Company of the items required by Section 3(a) for the respective method or methods of exercise. Unless this Warrant has expired or all of the purchase rights represented hereby have been exercised, the Company shall prepare a new Warrant, substantially identical hereto, representing the rights formerly represented by this Warrant which have not expired or been exercised and shall, within such 10-business-day period, deliver such new Warrant to such Warrant Holder.</w:t>
      </w:r>
    </w:p>
    <w:p>
      <w:pPr>
        <w:spacing w:after="0" w:line="2" w:lineRule="exact"/>
        <w:rPr>
          <w:rFonts w:ascii="Arial" w:cs="Arial" w:eastAsia="Arial" w:hAnsi="Arial"/>
          <w:sz w:val="18"/>
          <w:szCs w:val="18"/>
          <w:color w:val="auto"/>
        </w:rPr>
      </w:pPr>
    </w:p>
    <w:p>
      <w:pPr>
        <w:ind w:right="80" w:firstLine="464"/>
        <w:spacing w:after="0" w:line="250" w:lineRule="auto"/>
        <w:tabs>
          <w:tab w:leader="none" w:pos="68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Warrant Shares issuable upon the proper exercise of this Warrant shall be deemed to have been issued to the Warrant Holder on the date the Company receives the completed Exercise Agreement and payment of the Exercise Price, if any, and the Warrant Holder shall be deemed for all purposes to have become the record holder of such Common Shares on such date.</w:t>
      </w:r>
    </w:p>
    <w:p>
      <w:pPr>
        <w:spacing w:after="0" w:line="1" w:lineRule="exact"/>
        <w:rPr>
          <w:rFonts w:ascii="Arial" w:cs="Arial" w:eastAsia="Arial" w:hAnsi="Arial"/>
          <w:sz w:val="18"/>
          <w:szCs w:val="18"/>
          <w:color w:val="auto"/>
        </w:rPr>
      </w:pPr>
    </w:p>
    <w:p>
      <w:pPr>
        <w:ind w:right="200" w:firstLine="464"/>
        <w:spacing w:after="0" w:line="250" w:lineRule="auto"/>
        <w:tabs>
          <w:tab w:leader="none" w:pos="70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issuance of certificates for the Warrant Shares shall be made without charge to the Warrant Holder for any issuance tax in respect thereof or other cost incurred by the Company in connection with such exercise and the related issuance of the Warrant Shares.</w:t>
      </w:r>
    </w:p>
    <w:p>
      <w:pPr>
        <w:ind w:right="80" w:firstLine="464"/>
        <w:spacing w:after="0" w:line="281" w:lineRule="auto"/>
        <w:tabs>
          <w:tab w:leader="none" w:pos="69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Company shall at all times reserve and keep available such number of authorized but unissued Common Shares, solely for the purpose of issuance upon exercise of this Warrant, as are issuable upon exercise of this Warrant. All Warrant Shares shall, when issued, be duly and validly issued, fully paid and nonassessable (meaning that no further sums are required to be paid by the holders thereof in connection with the issue thereof) and free from all taxes, liens and charges. The Company shall take such actions as may be necessary to ensure that the Warrant Shares may be so issued without violation of any applicable law or governmental regulation or any requirements of any securities exchange upon which its shares may be listed (except for official notice of issuance which shall be immediately delivered by the Company upon each such issuance).</w:t>
      </w:r>
    </w:p>
    <w:p>
      <w:pPr>
        <w:spacing w:after="0" w:line="4" w:lineRule="exact"/>
        <w:rPr>
          <w:rFonts w:ascii="Arial" w:cs="Arial" w:eastAsia="Arial" w:hAnsi="Arial"/>
          <w:sz w:val="16"/>
          <w:szCs w:val="16"/>
          <w:color w:val="auto"/>
        </w:rPr>
      </w:pPr>
    </w:p>
    <w:p>
      <w:pPr>
        <w:jc w:val="both"/>
        <w:ind w:right="220" w:firstLine="464"/>
        <w:spacing w:after="0" w:line="250" w:lineRule="auto"/>
        <w:tabs>
          <w:tab w:leader="none" w:pos="67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Without prejudice to the rights of the Warrant Holders as signatory to the Shareholders Agreement as set forth in Section 5 hereof, the Company shall have the option, in its sole discretion, to deliver Warrant Shares which are (i) subject to the securities law transfer restrictions referred to in the legend endorsed hereon or (ii) subject to a registration statement filed under the Securities Act.</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Warrant Transfer Restrictions.</w:t>
      </w:r>
      <w:r>
        <w:rPr>
          <w:rFonts w:ascii="Arial" w:cs="Arial" w:eastAsia="Arial" w:hAnsi="Arial"/>
          <w:sz w:val="16"/>
          <w:szCs w:val="16"/>
          <w:color w:val="auto"/>
        </w:rPr>
        <w:t xml:space="preserve"> Subject to the transfer conditions referred to in the legend endorsed hereon, this Warrant and all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16</w:t>
      </w:r>
    </w:p>
    <w:p>
      <w:pPr>
        <w:spacing w:after="0" w:line="9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hereunder are transferable, in whole or in part, without charge to the Warrant Holder, upon surrender of this Warrant with a properly executed Assignment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at the registered office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such transfer shall comply with Section 2 of the Shareholders Agreement and (ii) prior to such transfer, the transferee shall enter into the Shareholders Agreement with the Company.</w:t>
      </w:r>
    </w:p>
    <w:p>
      <w:pPr>
        <w:spacing w:after="0" w:line="1" w:lineRule="exact"/>
        <w:rPr>
          <w:sz w:val="20"/>
          <w:szCs w:val="20"/>
          <w:color w:val="auto"/>
        </w:rPr>
      </w:pPr>
    </w:p>
    <w:p>
      <w:pPr>
        <w:ind w:right="40" w:firstLine="456"/>
        <w:spacing w:after="0" w:line="250"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Shareholders Agreement; Registration Rights.</w:t>
      </w:r>
      <w:r>
        <w:rPr>
          <w:rFonts w:ascii="Arial" w:cs="Arial" w:eastAsia="Arial" w:hAnsi="Arial"/>
          <w:sz w:val="18"/>
          <w:szCs w:val="18"/>
          <w:color w:val="auto"/>
        </w:rPr>
        <w:t xml:space="preserve"> The Warrant Holder, as signatory to the Shareholders Agreement, shall have the rights set forth in Section 3 of the Shareholders Agreement with respect to this Warrant and any Warrant Shares issued hereunder.</w:t>
      </w:r>
    </w:p>
    <w:p>
      <w:pPr>
        <w:spacing w:after="0" w:line="1" w:lineRule="exact"/>
        <w:rPr>
          <w:sz w:val="20"/>
          <w:szCs w:val="20"/>
          <w:color w:val="auto"/>
        </w:rPr>
      </w:pPr>
    </w:p>
    <w:p>
      <w:pPr>
        <w:ind w:right="480" w:firstLine="456"/>
        <w:spacing w:after="0" w:line="281"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Amendment and Waiver.</w:t>
      </w:r>
      <w:r>
        <w:rPr>
          <w:rFonts w:ascii="Arial" w:cs="Arial" w:eastAsia="Arial" w:hAnsi="Arial"/>
          <w:sz w:val="16"/>
          <w:szCs w:val="16"/>
          <w:color w:val="auto"/>
        </w:rPr>
        <w:t xml:space="preserve"> Except as otherwise provided herein, the provisions of this Warrant may be amended only if the Company has obtained the written consent of the Warrant Holder and a majority of the Independent Directors has approved the amendment.</w:t>
      </w:r>
    </w:p>
    <w:p>
      <w:pPr>
        <w:spacing w:after="0" w:line="1" w:lineRule="exact"/>
        <w:rPr>
          <w:sz w:val="20"/>
          <w:szCs w:val="20"/>
          <w:color w:val="auto"/>
        </w:rPr>
      </w:pPr>
    </w:p>
    <w:p>
      <w:pPr>
        <w:ind w:left="460" w:right="80"/>
        <w:spacing w:after="0" w:line="300" w:lineRule="auto"/>
        <w:rPr>
          <w:sz w:val="20"/>
          <w:szCs w:val="20"/>
          <w:color w:val="auto"/>
        </w:rPr>
      </w:pPr>
      <w:r>
        <w:rPr>
          <w:rFonts w:ascii="Arial" w:cs="Arial" w:eastAsia="Arial" w:hAnsi="Arial"/>
          <w:sz w:val="15"/>
          <w:szCs w:val="15"/>
          <w:color w:val="auto"/>
        </w:rPr>
        <w:t xml:space="preserve">SECTION 7. </w:t>
      </w:r>
      <w:r>
        <w:rPr>
          <w:rFonts w:ascii="Arial" w:cs="Arial" w:eastAsia="Arial" w:hAnsi="Arial"/>
          <w:sz w:val="15"/>
          <w:szCs w:val="15"/>
          <w:u w:val="single" w:color="auto"/>
          <w:color w:val="auto"/>
        </w:rPr>
        <w:t>Descriptive Headings.</w:t>
      </w:r>
      <w:r>
        <w:rPr>
          <w:rFonts w:ascii="Arial" w:cs="Arial" w:eastAsia="Arial" w:hAnsi="Arial"/>
          <w:sz w:val="15"/>
          <w:szCs w:val="15"/>
          <w:color w:val="auto"/>
        </w:rPr>
        <w:t xml:space="preserve"> The descriptive headings of this Warrant are inserted for convenience only and do not constitute a part of this Warrant. SECTION 8. </w:t>
      </w:r>
      <w:r>
        <w:rPr>
          <w:rFonts w:ascii="Arial" w:cs="Arial" w:eastAsia="Arial" w:hAnsi="Arial"/>
          <w:sz w:val="15"/>
          <w:szCs w:val="15"/>
          <w:u w:val="single" w:color="auto"/>
          <w:color w:val="auto"/>
        </w:rPr>
        <w:t>Definitions.</w:t>
      </w:r>
      <w:r>
        <w:rPr>
          <w:rFonts w:ascii="Arial" w:cs="Arial" w:eastAsia="Arial" w:hAnsi="Arial"/>
          <w:sz w:val="15"/>
          <w:szCs w:val="15"/>
          <w:color w:val="auto"/>
        </w:rPr>
        <w:t xml:space="preserve"> Terms used in this Warrant unless otherwise defined herein shall have the meaning ascribed to them in the Shareholders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9"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Warrant shall be governed by and construed and enforced in accordance with the internal laws of the State of New York. Each party hereby irrevocably submits to the nonexclusive jurisdiction of the courts of New York for the adjudication of any dispute hereunder or in connection herewith or with any transaction contemplated hereby or discussed herein, and hereby irrevocably waives, and agrees not to assert in any suit, action or proceeding, any claim that (i) it is not personally subject to the jurisdiction of any such court, and/or (ii) that such suit, action or proceeding is not brought in the proper forum. Each party hereby irrevocably waives personal service of process and consents to process being served in any such suit, action or proceeding by mailing a copy thereof to such party at the address for such notices to it under this Warrant and agrees that such service shall constitute good and sufficient service of process and notice thereof. Nothing contained herein shall be deemed to limit in any way any right to serve process in any manner permitted by law.</w:t>
      </w:r>
    </w:p>
    <w:p>
      <w:pPr>
        <w:spacing w:after="0" w:line="5" w:lineRule="exact"/>
        <w:rPr>
          <w:sz w:val="20"/>
          <w:szCs w:val="20"/>
          <w:color w:val="auto"/>
        </w:rPr>
      </w:pPr>
    </w:p>
    <w:p>
      <w:pPr>
        <w:ind w:right="200" w:firstLine="456"/>
        <w:spacing w:after="0" w:line="295"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Complete Agreement; Severability.</w:t>
      </w:r>
      <w:r>
        <w:rPr>
          <w:rFonts w:ascii="Arial" w:cs="Arial" w:eastAsia="Arial" w:hAnsi="Arial"/>
          <w:sz w:val="16"/>
          <w:szCs w:val="16"/>
          <w:color w:val="auto"/>
        </w:rPr>
        <w:t xml:space="preserve"> Except as otherwise expressly set forth herein, this Warrant embodies the complete agreement and understanding among the parties hereto with respect to the subject matter hereof and supersedes and preempts any prior understandings, agreements or representations by or among the parties, written or oral, which may have related to the subject matter hereof in any way. In case any provision of this Warrant shall be invalid, illegal or unenforceable, such invalidity, illegality, or unenforceability shall not in any way affect or impair any other provision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provided for or permitted hereunder shall be made in writing by hand-delivery, first-class mail, facsimile, or air courier guaranteeing overnight delivery.</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If to the Company:</w:t>
            </w:r>
          </w:p>
        </w:tc>
        <w:tc>
          <w:tcPr>
            <w:tcW w:w="3180" w:type="dxa"/>
            <w:vAlign w:val="bottom"/>
          </w:tcPr>
          <w:p>
            <w:pPr>
              <w:ind w:left="940"/>
              <w:spacing w:after="0"/>
              <w:rPr>
                <w:sz w:val="20"/>
                <w:szCs w:val="20"/>
                <w:color w:val="auto"/>
              </w:rPr>
            </w:pPr>
            <w:r>
              <w:rPr>
                <w:rFonts w:ascii="Arial" w:cs="Arial" w:eastAsia="Arial" w:hAnsi="Arial"/>
                <w:sz w:val="18"/>
                <w:szCs w:val="18"/>
                <w:color w:val="auto"/>
              </w:rPr>
              <w:t>Occum Acquisition Corp.</w:t>
            </w:r>
          </w:p>
        </w:tc>
        <w:tc>
          <w:tcPr>
            <w:tcW w:w="4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3180" w:type="dxa"/>
            <w:vAlign w:val="bottom"/>
          </w:tcPr>
          <w:p>
            <w:pPr>
              <w:ind w:left="940"/>
              <w:spacing w:after="0"/>
              <w:rPr>
                <w:sz w:val="20"/>
                <w:szCs w:val="20"/>
                <w:color w:val="auto"/>
              </w:rPr>
            </w:pPr>
            <w:r>
              <w:rPr>
                <w:rFonts w:ascii="Arial" w:cs="Arial" w:eastAsia="Arial" w:hAnsi="Arial"/>
                <w:sz w:val="18"/>
                <w:szCs w:val="18"/>
                <w:color w:val="auto"/>
              </w:rPr>
              <w:t>370 Church Street</w:t>
            </w:r>
          </w:p>
        </w:tc>
        <w:tc>
          <w:tcPr>
            <w:tcW w:w="4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3180" w:type="dxa"/>
            <w:vAlign w:val="bottom"/>
          </w:tcPr>
          <w:p>
            <w:pPr>
              <w:ind w:left="940"/>
              <w:spacing w:after="0"/>
              <w:rPr>
                <w:sz w:val="20"/>
                <w:szCs w:val="20"/>
                <w:color w:val="auto"/>
              </w:rPr>
            </w:pPr>
            <w:r>
              <w:rPr>
                <w:rFonts w:ascii="Arial" w:cs="Arial" w:eastAsia="Arial" w:hAnsi="Arial"/>
                <w:sz w:val="18"/>
                <w:szCs w:val="18"/>
                <w:color w:val="auto"/>
              </w:rPr>
              <w:t>Guilford, CT 06437</w:t>
            </w:r>
          </w:p>
        </w:tc>
        <w:tc>
          <w:tcPr>
            <w:tcW w:w="480" w:type="dxa"/>
            <w:vAlign w:val="bottom"/>
          </w:tcPr>
          <w:p>
            <w:pPr>
              <w:spacing w:after="0"/>
              <w:rPr>
                <w:sz w:val="18"/>
                <w:szCs w:val="18"/>
                <w:color w:val="auto"/>
              </w:rPr>
            </w:pPr>
          </w:p>
        </w:tc>
      </w:tr>
      <w:tr>
        <w:trPr>
          <w:trHeight w:val="222"/>
        </w:trPr>
        <w:tc>
          <w:tcPr>
            <w:tcW w:w="2700" w:type="dxa"/>
            <w:vAlign w:val="bottom"/>
          </w:tcPr>
          <w:p>
            <w:pPr>
              <w:spacing w:after="0"/>
              <w:rPr>
                <w:sz w:val="19"/>
                <w:szCs w:val="19"/>
                <w:color w:val="auto"/>
              </w:rPr>
            </w:pPr>
          </w:p>
        </w:tc>
        <w:tc>
          <w:tcPr>
            <w:tcW w:w="3660" w:type="dxa"/>
            <w:vAlign w:val="bottom"/>
            <w:gridSpan w:val="2"/>
          </w:tcPr>
          <w:p>
            <w:pPr>
              <w:ind w:left="940"/>
              <w:spacing w:after="0"/>
              <w:rPr>
                <w:sz w:val="20"/>
                <w:szCs w:val="20"/>
                <w:color w:val="auto"/>
              </w:rPr>
            </w:pPr>
            <w:r>
              <w:rPr>
                <w:rFonts w:ascii="Arial" w:cs="Arial" w:eastAsia="Arial" w:hAnsi="Arial"/>
                <w:sz w:val="18"/>
                <w:szCs w:val="18"/>
                <w:color w:val="auto"/>
                <w:w w:val="94"/>
              </w:rPr>
              <w:t>Attention: Reid Campbell, Treasurer</w:t>
            </w:r>
          </w:p>
        </w:tc>
      </w:tr>
      <w:tr>
        <w:trPr>
          <w:trHeight w:val="318"/>
        </w:trPr>
        <w:tc>
          <w:tcPr>
            <w:tcW w:w="2700" w:type="dxa"/>
            <w:vAlign w:val="bottom"/>
          </w:tcPr>
          <w:p>
            <w:pPr>
              <w:spacing w:after="0"/>
              <w:rPr>
                <w:sz w:val="20"/>
                <w:szCs w:val="20"/>
                <w:color w:val="auto"/>
              </w:rPr>
            </w:pPr>
            <w:r>
              <w:rPr>
                <w:rFonts w:ascii="Arial" w:cs="Arial" w:eastAsia="Arial" w:hAnsi="Arial"/>
                <w:sz w:val="18"/>
                <w:szCs w:val="18"/>
                <w:color w:val="auto"/>
              </w:rPr>
              <w:t>With a copy to:</w:t>
            </w:r>
          </w:p>
        </w:tc>
        <w:tc>
          <w:tcPr>
            <w:tcW w:w="3180" w:type="dxa"/>
            <w:vAlign w:val="bottom"/>
          </w:tcPr>
          <w:p>
            <w:pPr>
              <w:ind w:left="940"/>
              <w:spacing w:after="0"/>
              <w:rPr>
                <w:sz w:val="20"/>
                <w:szCs w:val="20"/>
                <w:color w:val="auto"/>
              </w:rPr>
            </w:pPr>
            <w:r>
              <w:rPr>
                <w:rFonts w:ascii="Arial" w:cs="Arial" w:eastAsia="Arial" w:hAnsi="Arial"/>
                <w:sz w:val="18"/>
                <w:szCs w:val="18"/>
                <w:color w:val="auto"/>
                <w:w w:val="91"/>
              </w:rPr>
              <w:t>Cravath, Swaine &amp; Moore LLP</w:t>
            </w:r>
          </w:p>
        </w:tc>
        <w:tc>
          <w:tcPr>
            <w:tcW w:w="480" w:type="dxa"/>
            <w:vAlign w:val="bottom"/>
          </w:tcPr>
          <w:p>
            <w:pPr>
              <w:spacing w:after="0"/>
              <w:rPr>
                <w:sz w:val="24"/>
                <w:szCs w:val="24"/>
                <w:color w:val="auto"/>
              </w:rPr>
            </w:pPr>
          </w:p>
        </w:tc>
      </w:tr>
      <w:tr>
        <w:trPr>
          <w:trHeight w:val="216"/>
        </w:trPr>
        <w:tc>
          <w:tcPr>
            <w:tcW w:w="2700" w:type="dxa"/>
            <w:vAlign w:val="bottom"/>
          </w:tcPr>
          <w:p>
            <w:pPr>
              <w:spacing w:after="0"/>
              <w:rPr>
                <w:sz w:val="18"/>
                <w:szCs w:val="18"/>
                <w:color w:val="auto"/>
              </w:rPr>
            </w:pPr>
          </w:p>
        </w:tc>
        <w:tc>
          <w:tcPr>
            <w:tcW w:w="3180" w:type="dxa"/>
            <w:vAlign w:val="bottom"/>
          </w:tcPr>
          <w:p>
            <w:pPr>
              <w:ind w:left="940"/>
              <w:spacing w:after="0"/>
              <w:rPr>
                <w:sz w:val="20"/>
                <w:szCs w:val="20"/>
                <w:color w:val="auto"/>
              </w:rPr>
            </w:pPr>
            <w:r>
              <w:rPr>
                <w:rFonts w:ascii="Arial" w:cs="Arial" w:eastAsia="Arial" w:hAnsi="Arial"/>
                <w:sz w:val="18"/>
                <w:szCs w:val="18"/>
                <w:color w:val="auto"/>
              </w:rPr>
              <w:t>825 Eighth Avenue</w:t>
            </w:r>
          </w:p>
        </w:tc>
        <w:tc>
          <w:tcPr>
            <w:tcW w:w="4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3180" w:type="dxa"/>
            <w:vAlign w:val="bottom"/>
          </w:tcPr>
          <w:p>
            <w:pPr>
              <w:ind w:left="940"/>
              <w:spacing w:after="0"/>
              <w:rPr>
                <w:sz w:val="20"/>
                <w:szCs w:val="20"/>
                <w:color w:val="auto"/>
              </w:rPr>
            </w:pPr>
            <w:r>
              <w:rPr>
                <w:rFonts w:ascii="Arial" w:cs="Arial" w:eastAsia="Arial" w:hAnsi="Arial"/>
                <w:sz w:val="18"/>
                <w:szCs w:val="18"/>
                <w:color w:val="auto"/>
              </w:rPr>
              <w:t>New York, New York 10019</w:t>
            </w:r>
          </w:p>
        </w:tc>
        <w:tc>
          <w:tcPr>
            <w:tcW w:w="480" w:type="dxa"/>
            <w:vAlign w:val="bottom"/>
          </w:tcPr>
          <w:p>
            <w:pPr>
              <w:spacing w:after="0"/>
              <w:rPr>
                <w:sz w:val="18"/>
                <w:szCs w:val="18"/>
                <w:color w:val="auto"/>
              </w:rPr>
            </w:pPr>
          </w:p>
        </w:tc>
      </w:tr>
      <w:tr>
        <w:trPr>
          <w:trHeight w:val="222"/>
        </w:trPr>
        <w:tc>
          <w:tcPr>
            <w:tcW w:w="2700" w:type="dxa"/>
            <w:vAlign w:val="bottom"/>
          </w:tcPr>
          <w:p>
            <w:pPr>
              <w:spacing w:after="0"/>
              <w:rPr>
                <w:sz w:val="19"/>
                <w:szCs w:val="19"/>
                <w:color w:val="auto"/>
              </w:rPr>
            </w:pPr>
          </w:p>
        </w:tc>
        <w:tc>
          <w:tcPr>
            <w:tcW w:w="3660" w:type="dxa"/>
            <w:vAlign w:val="bottom"/>
            <w:gridSpan w:val="2"/>
          </w:tcPr>
          <w:p>
            <w:pPr>
              <w:ind w:left="940"/>
              <w:spacing w:after="0"/>
              <w:rPr>
                <w:sz w:val="20"/>
                <w:szCs w:val="20"/>
                <w:color w:val="auto"/>
              </w:rPr>
            </w:pPr>
            <w:r>
              <w:rPr>
                <w:rFonts w:ascii="Arial" w:cs="Arial" w:eastAsia="Arial" w:hAnsi="Arial"/>
                <w:sz w:val="18"/>
                <w:szCs w:val="18"/>
                <w:color w:val="auto"/>
                <w:w w:val="91"/>
              </w:rPr>
              <w:t>Attention: William J. Whelan, III, Esq.</w:t>
            </w:r>
          </w:p>
        </w:tc>
      </w:tr>
      <w:tr>
        <w:trPr>
          <w:trHeight w:val="318"/>
        </w:trPr>
        <w:tc>
          <w:tcPr>
            <w:tcW w:w="2700" w:type="dxa"/>
            <w:vAlign w:val="bottom"/>
          </w:tcPr>
          <w:p>
            <w:pPr>
              <w:spacing w:after="0"/>
              <w:rPr>
                <w:sz w:val="20"/>
                <w:szCs w:val="20"/>
                <w:color w:val="auto"/>
              </w:rPr>
            </w:pPr>
            <w:r>
              <w:rPr>
                <w:rFonts w:ascii="Arial" w:cs="Arial" w:eastAsia="Arial" w:hAnsi="Arial"/>
                <w:sz w:val="18"/>
                <w:szCs w:val="18"/>
                <w:color w:val="auto"/>
              </w:rPr>
              <w:t>If to the Warrant Holder:</w:t>
            </w:r>
          </w:p>
        </w:tc>
        <w:tc>
          <w:tcPr>
            <w:tcW w:w="3660" w:type="dxa"/>
            <w:vAlign w:val="bottom"/>
            <w:gridSpan w:val="2"/>
          </w:tcPr>
          <w:p>
            <w:pPr>
              <w:ind w:left="940"/>
              <w:spacing w:after="0"/>
              <w:rPr>
                <w:sz w:val="20"/>
                <w:szCs w:val="20"/>
                <w:color w:val="auto"/>
              </w:rPr>
            </w:pPr>
            <w:r>
              <w:rPr>
                <w:rFonts w:ascii="Arial" w:cs="Arial" w:eastAsia="Arial" w:hAnsi="Arial"/>
                <w:sz w:val="18"/>
                <w:szCs w:val="18"/>
                <w:color w:val="auto"/>
              </w:rPr>
              <w:t>White Mountains Re Group, Ltd.</w:t>
            </w:r>
          </w:p>
        </w:tc>
      </w:tr>
      <w:tr>
        <w:trPr>
          <w:trHeight w:val="222"/>
        </w:trPr>
        <w:tc>
          <w:tcPr>
            <w:tcW w:w="2700" w:type="dxa"/>
            <w:vAlign w:val="bottom"/>
          </w:tcPr>
          <w:p>
            <w:pPr>
              <w:spacing w:after="0"/>
              <w:rPr>
                <w:sz w:val="19"/>
                <w:szCs w:val="19"/>
                <w:color w:val="auto"/>
              </w:rPr>
            </w:pPr>
          </w:p>
        </w:tc>
        <w:tc>
          <w:tcPr>
            <w:tcW w:w="3180" w:type="dxa"/>
            <w:vAlign w:val="bottom"/>
          </w:tcPr>
          <w:p>
            <w:pPr>
              <w:ind w:left="9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12"/>
              <w:spacing w:after="0"/>
              <w:rPr>
                <w:sz w:val="20"/>
                <w:szCs w:val="20"/>
                <w:color w:val="auto"/>
              </w:rPr>
            </w:pPr>
            <w:r>
              <w:rPr>
                <w:rFonts w:ascii="Arial" w:cs="Arial" w:eastAsia="Arial" w:hAnsi="Arial"/>
                <w:sz w:val="18"/>
                <w:szCs w:val="18"/>
                <w:color w:val="auto"/>
              </w:rPr>
              <w:t>]</w:t>
            </w:r>
          </w:p>
        </w:tc>
      </w:tr>
    </w:tbl>
    <w:p>
      <w:pPr>
        <w:ind w:right="40" w:firstLine="456"/>
        <w:spacing w:after="0" w:line="255" w:lineRule="auto"/>
        <w:rPr>
          <w:sz w:val="20"/>
          <w:szCs w:val="20"/>
          <w:color w:val="auto"/>
        </w:rPr>
      </w:pPr>
      <w:r>
        <w:rPr>
          <w:rFonts w:ascii="Arial" w:cs="Arial" w:eastAsia="Arial" w:hAnsi="Arial"/>
          <w:sz w:val="18"/>
          <w:szCs w:val="18"/>
          <w:color w:val="auto"/>
        </w:rPr>
        <w:t>All such notices and communications shall be deemed to have been duly given when delivered by hand, if personally delivered; five business days after the date of deposit in the U.S. mail, if mailed by first-class air mail; when receipt is acknowledged by the recipient facsimile machine, if sent by facsimile; and three business days after being delivered to a next-day air courier.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18</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 WITNESS WHEREOF, the Company has caused this Warrant to be signed and attested by its duly authorized officer and to be dated the date of issuance hereof.</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OCCUM ACQUISITION CORP.,</w:t>
      </w:r>
    </w:p>
    <w:p>
      <w:pPr>
        <w:spacing w:after="0" w:line="225" w:lineRule="exact"/>
        <w:rPr>
          <w:sz w:val="20"/>
          <w:szCs w:val="20"/>
          <w:color w:val="auto"/>
        </w:rPr>
      </w:pPr>
    </w:p>
    <w:p>
      <w:pPr>
        <w:ind w:left="7040"/>
        <w:spacing w:after="0"/>
        <w:tabs>
          <w:tab w:leader="none" w:pos="7400" w:val="left"/>
        </w:tabs>
        <w:rPr>
          <w:sz w:val="20"/>
          <w:szCs w:val="20"/>
          <w:color w:val="auto"/>
        </w:rPr>
      </w:pPr>
      <w:r>
        <w:rPr>
          <w:rFonts w:ascii="Arial" w:cs="Arial" w:eastAsia="Arial" w:hAnsi="Arial"/>
          <w:sz w:val="18"/>
          <w:szCs w:val="18"/>
          <w:color w:val="auto"/>
        </w:rPr>
        <w:t>By</w:t>
        <w:tab/>
        <w:t>/s/ Kernan V. Oberting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10795</wp:posOffset>
            </wp:positionV>
            <wp:extent cx="253873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7420"/>
        <w:spacing w:after="0"/>
        <w:tabs>
          <w:tab w:leader="none" w:pos="80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Kernan V. Oberting</w:t>
      </w:r>
    </w:p>
    <w:p>
      <w:pPr>
        <w:spacing w:after="0" w:line="15" w:lineRule="exact"/>
        <w:rPr>
          <w:sz w:val="20"/>
          <w:szCs w:val="20"/>
          <w:color w:val="auto"/>
        </w:rPr>
      </w:pPr>
    </w:p>
    <w:p>
      <w:pPr>
        <w:ind w:left="7420"/>
        <w:spacing w:after="0"/>
        <w:tabs>
          <w:tab w:leader="none" w:pos="8020" w:val="left"/>
        </w:tabs>
        <w:rPr>
          <w:sz w:val="20"/>
          <w:szCs w:val="20"/>
          <w:color w:val="auto"/>
        </w:rPr>
      </w:pPr>
      <w:r>
        <w:rPr>
          <w:rFonts w:ascii="Arial" w:cs="Arial" w:eastAsia="Arial" w:hAnsi="Arial"/>
          <w:sz w:val="18"/>
          <w:szCs w:val="18"/>
          <w:color w:val="auto"/>
        </w:rPr>
        <w:t>Title:</w:t>
        <w:tab/>
        <w:t>President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WHITE MOUNTAINS RE GROUP,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  /s/ Dennis Beaulieu</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Dennis Beaulieu</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EXERCISE AGREEMENT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OCCUM ACQUISITION CORP.</w:t>
      </w:r>
    </w:p>
    <w:p>
      <w:pPr>
        <w:spacing w:after="0" w:line="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undersigned hereby: (1) irrevocably elects to subscribe for and offers to purchase Common Shares of Occum Acquisition Corp., pursuant to Warrant No. W-2 heretofore issued to on July 29, 2004; (2) [choose either (a) or (b)] (a) encloses a payment of $100 per share (as adjusted pursuant to the provisions of the Warrant) which reflects a payment pursuant to Section 3(a)(i) of the Warrant; or (b) elects a cashless exercise pursuant to Section 3(a)(ii) of the Warrant (as adjusted pursuant to the provisions of the Warrant) and requests that a certificate for the relevant number of Common Shares be issued in the name of the undersigned and delivered to the undersigned at the address specified below.</w:t>
      </w:r>
    </w:p>
    <w:p>
      <w:pPr>
        <w:spacing w:after="0" w:line="186"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-5715</wp:posOffset>
            </wp:positionV>
            <wp:extent cx="33274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148590</wp:posOffset>
            </wp:positionV>
            <wp:extent cx="33274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67"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-5715</wp:posOffset>
            </wp:positionV>
            <wp:extent cx="33274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00" w:type="dxa"/>
            <w:vAlign w:val="bottom"/>
          </w:tcPr>
          <w:p>
            <w:pPr>
              <w:ind w:left="2440"/>
              <w:spacing w:after="0"/>
              <w:rPr>
                <w:sz w:val="20"/>
                <w:szCs w:val="20"/>
                <w:color w:val="auto"/>
              </w:rPr>
            </w:pPr>
            <w:r>
              <w:rPr>
                <w:rFonts w:ascii="Arial" w:cs="Arial" w:eastAsia="Arial" w:hAnsi="Arial"/>
                <w:sz w:val="18"/>
                <w:szCs w:val="18"/>
                <w:color w:val="auto"/>
                <w:w w:val="96"/>
              </w:rPr>
              <w:t>EXHIBIT B</w:t>
            </w:r>
          </w:p>
        </w:tc>
        <w:tc>
          <w:tcPr>
            <w:tcW w:w="0" w:type="dxa"/>
            <w:vAlign w:val="bottom"/>
          </w:tcPr>
          <w:p>
            <w:pPr>
              <w:spacing w:after="0"/>
              <w:rPr>
                <w:sz w:val="1"/>
                <w:szCs w:val="1"/>
                <w:color w:val="auto"/>
              </w:rPr>
            </w:pPr>
          </w:p>
        </w:tc>
      </w:tr>
      <w:tr>
        <w:trPr>
          <w:trHeight w:val="297"/>
        </w:trPr>
        <w:tc>
          <w:tcPr>
            <w:tcW w:w="5100" w:type="dxa"/>
            <w:vAlign w:val="bottom"/>
            <w:gridSpan w:val="3"/>
            <w:vMerge w:val="restart"/>
          </w:tcPr>
          <w:p>
            <w:pPr>
              <w:spacing w:after="0"/>
              <w:rPr>
                <w:sz w:val="20"/>
                <w:szCs w:val="20"/>
                <w:color w:val="auto"/>
              </w:rPr>
            </w:pPr>
            <w:r>
              <w:rPr>
                <w:rFonts w:ascii="Arial" w:cs="Arial" w:eastAsia="Arial" w:hAnsi="Arial"/>
                <w:sz w:val="18"/>
                <w:szCs w:val="18"/>
                <w:color w:val="auto"/>
                <w:w w:val="88"/>
              </w:rPr>
              <w:t>Subject to Section 2 of the Shareholders Agreement, for value received,</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ASSIGNMENT</w:t>
            </w:r>
          </w:p>
        </w:tc>
        <w:tc>
          <w:tcPr>
            <w:tcW w:w="4920" w:type="dxa"/>
            <w:vAlign w:val="bottom"/>
            <w:gridSpan w:val="3"/>
            <w:vMerge w:val="restart"/>
          </w:tcPr>
          <w:p>
            <w:pPr>
              <w:ind w:left="40"/>
              <w:spacing w:after="0"/>
              <w:rPr>
                <w:sz w:val="20"/>
                <w:szCs w:val="20"/>
                <w:color w:val="auto"/>
              </w:rPr>
            </w:pPr>
            <w:r>
              <w:rPr>
                <w:rFonts w:ascii="Arial" w:cs="Arial" w:eastAsia="Arial" w:hAnsi="Arial"/>
                <w:sz w:val="18"/>
                <w:szCs w:val="18"/>
                <w:color w:val="auto"/>
                <w:w w:val="87"/>
              </w:rPr>
              <w:t>hereby sells, assigns and transfers all of the rights of the undersigned</w:t>
            </w:r>
          </w:p>
        </w:tc>
        <w:tc>
          <w:tcPr>
            <w:tcW w:w="0" w:type="dxa"/>
            <w:vAlign w:val="bottom"/>
          </w:tcPr>
          <w:p>
            <w:pPr>
              <w:spacing w:after="0"/>
              <w:rPr>
                <w:sz w:val="1"/>
                <w:szCs w:val="1"/>
                <w:color w:val="auto"/>
              </w:rPr>
            </w:pPr>
          </w:p>
        </w:tc>
      </w:tr>
      <w:tr>
        <w:trPr>
          <w:trHeight w:val="178"/>
        </w:trPr>
        <w:tc>
          <w:tcPr>
            <w:tcW w:w="5100" w:type="dxa"/>
            <w:vAlign w:val="bottom"/>
            <w:gridSpan w:val="3"/>
            <w:vMerge w:val="continue"/>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1420" w:type="dxa"/>
            <w:vAlign w:val="bottom"/>
            <w:gridSpan w:val="8"/>
          </w:tcPr>
          <w:p>
            <w:pPr>
              <w:spacing w:after="0"/>
              <w:rPr>
                <w:sz w:val="20"/>
                <w:szCs w:val="20"/>
                <w:color w:val="auto"/>
              </w:rPr>
            </w:pPr>
            <w:r>
              <w:rPr>
                <w:rFonts w:ascii="Arial" w:cs="Arial" w:eastAsia="Arial" w:hAnsi="Arial"/>
                <w:sz w:val="18"/>
                <w:szCs w:val="18"/>
                <w:color w:val="auto"/>
                <w:w w:val="98"/>
              </w:rPr>
              <w:t>under the attached Warrant (Certificate No.: W-2) with respect to the number of Common Shares subject to such Warrant as set forth below, unto:</w:t>
            </w:r>
          </w:p>
        </w:tc>
        <w:tc>
          <w:tcPr>
            <w:tcW w:w="0" w:type="dxa"/>
            <w:vAlign w:val="bottom"/>
          </w:tcPr>
          <w:p>
            <w:pPr>
              <w:spacing w:after="0"/>
              <w:rPr>
                <w:sz w:val="1"/>
                <w:szCs w:val="1"/>
                <w:color w:val="auto"/>
              </w:rPr>
            </w:pPr>
          </w:p>
        </w:tc>
      </w:tr>
      <w:tr>
        <w:trPr>
          <w:trHeight w:val="245"/>
        </w:trPr>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Names of Assignee</w:t>
            </w:r>
          </w:p>
        </w:tc>
        <w:tc>
          <w:tcPr>
            <w:tcW w:w="36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Address</w:t>
            </w:r>
          </w:p>
        </w:tc>
        <w:tc>
          <w:tcPr>
            <w:tcW w:w="12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300" w:type="dxa"/>
            <w:vAlign w:val="bottom"/>
            <w:tcBorders>
              <w:bottom w:val="single" w:sz="8" w:color="auto"/>
            </w:tcBorders>
          </w:tcPr>
          <w:p>
            <w:pPr>
              <w:ind w:left="1280"/>
              <w:spacing w:after="0"/>
              <w:rPr>
                <w:sz w:val="20"/>
                <w:szCs w:val="20"/>
                <w:color w:val="auto"/>
              </w:rPr>
            </w:pPr>
            <w:r>
              <w:rPr>
                <w:rFonts w:ascii="Arial" w:cs="Arial" w:eastAsia="Arial" w:hAnsi="Arial"/>
                <w:sz w:val="14"/>
                <w:szCs w:val="14"/>
                <w:color w:val="auto"/>
              </w:rPr>
              <w:t>No. of Shares</w:t>
            </w:r>
          </w:p>
        </w:tc>
        <w:tc>
          <w:tcPr>
            <w:tcW w:w="0" w:type="dxa"/>
            <w:vAlign w:val="bottom"/>
          </w:tcPr>
          <w:p>
            <w:pPr>
              <w:spacing w:after="0"/>
              <w:rPr>
                <w:sz w:val="1"/>
                <w:szCs w:val="1"/>
                <w:color w:val="auto"/>
              </w:rPr>
            </w:pPr>
          </w:p>
        </w:tc>
      </w:tr>
      <w:tr>
        <w:trPr>
          <w:trHeight w:val="939"/>
        </w:trPr>
        <w:tc>
          <w:tcPr>
            <w:tcW w:w="5100" w:type="dxa"/>
            <w:vAlign w:val="bottom"/>
            <w:gridSpan w:val="3"/>
          </w:tcPr>
          <w:p>
            <w:pPr>
              <w:spacing w:after="0"/>
              <w:rPr>
                <w:sz w:val="20"/>
                <w:szCs w:val="20"/>
                <w:color w:val="auto"/>
              </w:rPr>
            </w:pPr>
            <w:r>
              <w:rPr>
                <w:rFonts w:ascii="Arial" w:cs="Arial" w:eastAsia="Arial" w:hAnsi="Arial"/>
                <w:sz w:val="18"/>
                <w:szCs w:val="18"/>
                <w:color w:val="auto"/>
              </w:rPr>
              <w:t>Dated:</w:t>
            </w:r>
          </w:p>
        </w:tc>
        <w:tc>
          <w:tcPr>
            <w:tcW w:w="1080" w:type="dxa"/>
            <w:vAlign w:val="bottom"/>
          </w:tcPr>
          <w:p>
            <w:pPr>
              <w:ind w:left="180"/>
              <w:spacing w:after="0"/>
              <w:rPr>
                <w:sz w:val="20"/>
                <w:szCs w:val="20"/>
                <w:color w:val="auto"/>
              </w:rPr>
            </w:pPr>
            <w:r>
              <w:rPr>
                <w:rFonts w:ascii="Arial" w:cs="Arial" w:eastAsia="Arial" w:hAnsi="Arial"/>
                <w:sz w:val="18"/>
                <w:szCs w:val="18"/>
                <w:color w:val="auto"/>
              </w:rPr>
              <w:t>Signature</w:t>
            </w: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8"/>
                <w:szCs w:val="18"/>
                <w:color w:val="auto"/>
              </w:rPr>
              <w:t>Address</w:t>
            </w: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Witness</w:t>
            </w: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00" w:type="dxa"/>
            <w:vAlign w:val="bottom"/>
            <w:tcBorders>
              <w:bottom w:val="single" w:sz="8" w:color="96A8AF"/>
            </w:tcBorders>
          </w:tcPr>
          <w:p>
            <w:pPr>
              <w:spacing w:after="0"/>
              <w:rPr>
                <w:sz w:val="12"/>
                <w:szCs w:val="12"/>
                <w:color w:val="auto"/>
              </w:rPr>
            </w:pPr>
          </w:p>
        </w:tc>
        <w:tc>
          <w:tcPr>
            <w:tcW w:w="360" w:type="dxa"/>
            <w:vAlign w:val="bottom"/>
            <w:tcBorders>
              <w:bottom w:val="single" w:sz="8" w:color="96A8AF"/>
            </w:tcBorders>
          </w:tcPr>
          <w:p>
            <w:pPr>
              <w:spacing w:after="0"/>
              <w:rPr>
                <w:sz w:val="12"/>
                <w:szCs w:val="12"/>
                <w:color w:val="auto"/>
              </w:rPr>
            </w:pPr>
          </w:p>
        </w:tc>
        <w:tc>
          <w:tcPr>
            <w:tcW w:w="740" w:type="dxa"/>
            <w:vAlign w:val="bottom"/>
            <w:tcBorders>
              <w:bottom w:val="single" w:sz="8" w:color="96A8AF"/>
            </w:tcBorders>
          </w:tcPr>
          <w:p>
            <w:pPr>
              <w:spacing w:after="0"/>
              <w:rPr>
                <w:sz w:val="12"/>
                <w:szCs w:val="12"/>
                <w:color w:val="auto"/>
              </w:rPr>
            </w:pPr>
          </w:p>
        </w:tc>
        <w:tc>
          <w:tcPr>
            <w:tcW w:w="1080" w:type="dxa"/>
            <w:vAlign w:val="bottom"/>
            <w:tcBorders>
              <w:bottom w:val="single" w:sz="8" w:color="96A8AF"/>
            </w:tcBorders>
          </w:tcPr>
          <w:p>
            <w:pPr>
              <w:spacing w:after="0"/>
              <w:rPr>
                <w:sz w:val="12"/>
                <w:szCs w:val="12"/>
                <w:color w:val="auto"/>
              </w:rPr>
            </w:pPr>
          </w:p>
        </w:tc>
        <w:tc>
          <w:tcPr>
            <w:tcW w:w="320" w:type="dxa"/>
            <w:vAlign w:val="bottom"/>
            <w:tcBorders>
              <w:top w:val="single" w:sz="8" w:color="auto"/>
              <w:bottom w:val="single" w:sz="8" w:color="96A8AF"/>
            </w:tcBorders>
          </w:tcPr>
          <w:p>
            <w:pPr>
              <w:spacing w:after="0"/>
              <w:rPr>
                <w:sz w:val="12"/>
                <w:szCs w:val="12"/>
                <w:color w:val="auto"/>
              </w:rPr>
            </w:pPr>
          </w:p>
        </w:tc>
        <w:tc>
          <w:tcPr>
            <w:tcW w:w="1280" w:type="dxa"/>
            <w:vAlign w:val="bottom"/>
            <w:tcBorders>
              <w:top w:val="single" w:sz="8" w:color="auto"/>
              <w:bottom w:val="single" w:sz="8" w:color="96A8AF"/>
            </w:tcBorders>
          </w:tcPr>
          <w:p>
            <w:pPr>
              <w:spacing w:after="0"/>
              <w:rPr>
                <w:sz w:val="12"/>
                <w:szCs w:val="12"/>
                <w:color w:val="auto"/>
              </w:rPr>
            </w:pPr>
          </w:p>
        </w:tc>
        <w:tc>
          <w:tcPr>
            <w:tcW w:w="340" w:type="dxa"/>
            <w:vAlign w:val="bottom"/>
            <w:tcBorders>
              <w:top w:val="single" w:sz="8" w:color="auto"/>
              <w:bottom w:val="single" w:sz="8" w:color="96A8AF"/>
            </w:tcBorders>
          </w:tcPr>
          <w:p>
            <w:pPr>
              <w:spacing w:after="0"/>
              <w:rPr>
                <w:sz w:val="12"/>
                <w:szCs w:val="12"/>
                <w:color w:val="auto"/>
              </w:rPr>
            </w:pPr>
          </w:p>
        </w:tc>
        <w:tc>
          <w:tcPr>
            <w:tcW w:w="3300" w:type="dxa"/>
            <w:vAlign w:val="bottom"/>
            <w:tcBorders>
              <w:top w:val="single" w:sz="8" w:color="auto"/>
              <w:bottom w:val="single" w:sz="8" w:color="96A8AF"/>
            </w:tcBorders>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08" w:name="page209"/>
    <w:bookmarkEnd w:id="208"/>
    <w:p>
      <w:pPr>
        <w:ind w:left="105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two examples illustrate certain of the calculations in Section 2(a)(4)(C) of the Warrant. These examples assume that the Warrant is for 100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 is $100.00 per share; the Subscription Price is $100.00; and the Hurdle Price is $155.00.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Example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 Share Value: $140.00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Non-Common Stock Portion: 0.30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Average Closing Price: $47.00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Spread: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Spread: $4,000.00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Black Scholes Value: $4,500.00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Black-Scholes Value = $4,500.00 x .30 = $ 1,350.00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Reduction = Reduction Amount (136.35) x .30 = $40.90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Reduction Amount = Discount Factor (.2727) x $500.00 = $136.35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Discount Factor = (x) One minus (y) .7273—.2727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Intrinsic Value Amount = $1,309.10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Post-merger Warrant = 208.51 shares at aggregate exercise price of $7,000.00 (in-the-money value = $2,800.00)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Example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 Share Value: $300.00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Non-Common Stock Portion: 0.40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Average Closing Price: $97.00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Spread: $200.00 Total Spread: $20,000.00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Black-Scholes Value: $23,000.00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Black-Scholes Value = $23,000.00 x .40 = $9,200.00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Reduction = Reduction Amount (0) x.40 = $0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Reduction Amount = Discount Factor (0) x $3,000.00 = $0</w:t>
      </w:r>
    </w:p>
    <w:p>
      <w:pPr>
        <w:spacing w:after="0" w:line="9" w:lineRule="exact"/>
        <w:rPr>
          <w:sz w:val="20"/>
          <w:szCs w:val="20"/>
          <w:color w:val="auto"/>
        </w:rPr>
      </w:pPr>
    </w:p>
    <w:p>
      <w:pPr>
        <w:ind w:right="5360"/>
        <w:spacing w:after="0" w:line="250" w:lineRule="auto"/>
        <w:rPr>
          <w:sz w:val="20"/>
          <w:szCs w:val="20"/>
          <w:color w:val="auto"/>
        </w:rPr>
      </w:pPr>
      <w:r>
        <w:rPr>
          <w:rFonts w:ascii="Arial" w:cs="Arial" w:eastAsia="Arial" w:hAnsi="Arial"/>
          <w:sz w:val="18"/>
          <w:szCs w:val="18"/>
          <w:color w:val="auto"/>
        </w:rPr>
        <w:t>Discount Factor = (x) One minus (y) [$200.00/55 = 3.6364 but not more than one] = 0 Intrinsic Value Amount = $9,200.00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Post-merger Warrant = 185.567 shares at aggregate exercise price of $6,000.00 (in-the-money value = $12,000.00)</w:t>
      </w:r>
    </w:p>
    <w:p>
      <w:pPr>
        <w:sectPr>
          <w:pgSz w:w="11900" w:h="16838" w:orient="portrait"/>
          <w:cols w:equalWidth="0" w:num="1">
            <w:col w:w="11420"/>
          </w:cols>
          <w:pgMar w:left="240" w:top="280"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10.45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6128385</wp:posOffset>
            </wp:positionH>
            <wp:positionV relativeFrom="paragraph">
              <wp:posOffset>66675</wp:posOffset>
            </wp:positionV>
            <wp:extent cx="1123315" cy="5918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2331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August 11,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Craig R. Raymond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11 Cranberry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Hingham, MA 02043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Craig:</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very excited at the prospect of you accepting our offer as Senior Vice President, and Chief Strategy Officer of Symetra Life Insurance Company. With your experience and track record, we look forward to having you join our team. In this position, you will report directly to Tom Marra, CEO. Your office will be located in Connecticut.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offer includes the following elements: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Your base salary will be $12,884.61 each bi-weekly pay period, equivalent to $335,000 annually.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Bonus</w:t>
      </w:r>
      <w:r>
        <w:rPr>
          <w:rFonts w:ascii="Arial" w:cs="Arial" w:eastAsia="Arial" w:hAnsi="Arial"/>
          <w:sz w:val="18"/>
          <w:szCs w:val="18"/>
          <w:color w:val="auto"/>
        </w:rPr>
        <w:t>:</w:t>
      </w:r>
    </w:p>
    <w:p>
      <w:pPr>
        <w:spacing w:after="0" w:line="9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Your target bonus under the Annual Incentive Bonus (AIB) will be 50% of your eligible earnings. Eligible earnings, as defined for the Annual Incentive Bonus, include your aggregate base salary paid during the applicable plan year before any salary reduction contributions to a flexible spending account, health savings account, medical benefit plan, transportation plan, or 401(k) plan. Eligible earnings do not include cash incentives, bonuses, deferred compensation, company contributions to 401(k), medical or insurance benefit plan, fringe benefits, severance pay, long-term disability benefits, or any other payments or benefits. Your bonus can range from 0% to 200% of your target based on Company performance and your individual performance. However, for the 2012 plan year you will receive your full target bonus of $167,500 in March, 2013.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 Term Incentive</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You will also participate in the Symetra Financial Corporation Equity Plan. At commencement of your employment, you will receive a long-term incentive grant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the three-year 2012-2014 performance cycle with a grant value of $300,000. The grant will be apportioned between Performance Units (grant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$175,000) and Restricted Stock (grant value of $125,000). Performance Units will have an initial value of $100 per unit and could grow in value each year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modified operating return on equity. The earned value of the Performance Units at the end of 2014 will vary from 0% to 200% of target based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average annual modified operating return on equity. The target for the 2012-2014 cycle is 9.6%. The actual number of shares of restricted stock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determined by the closing price of SYA on your hire date. These grants are subject to all of the terms and conditions of the Performance Unit Award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Award Agreements, including “double-trigger” change in control protections. We would expect you to be eligible for similar annual grants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future years.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Sign-on Bonus:</w:t>
      </w:r>
    </w:p>
    <w:p>
      <w:pPr>
        <w:spacing w:after="0" w:line="9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You will receive a one-time sign-on bonus of $200,000 (gross). This additional incentive will be paid out on your first paycheck with Symetra. If your employment ends either voluntarily or involuntarily before your first anniversary date, you will be required to return the full amount of your sign-on bonus to Symetra.</w:t>
      </w:r>
    </w:p>
    <w:p>
      <w:pPr>
        <w:spacing w:after="0" w:line="140" w:lineRule="exact"/>
        <w:rPr>
          <w:sz w:val="20"/>
          <w:szCs w:val="20"/>
          <w:color w:val="auto"/>
        </w:rPr>
      </w:pPr>
    </w:p>
    <w:p>
      <w:pPr>
        <w:ind w:right="3000"/>
        <w:spacing w:after="0" w:line="332" w:lineRule="auto"/>
        <w:rPr>
          <w:sz w:val="20"/>
          <w:szCs w:val="20"/>
          <w:color w:val="auto"/>
        </w:rPr>
      </w:pPr>
      <w:r>
        <w:rPr>
          <w:rFonts w:ascii="Arial" w:cs="Arial" w:eastAsia="Arial" w:hAnsi="Arial"/>
          <w:sz w:val="16"/>
          <w:szCs w:val="16"/>
          <w:color w:val="auto"/>
        </w:rPr>
        <w:t>Symetra Life Insurance Company • 777 108th Avenue NE, Suite 1200 • Bellevue, WA 98004-5135 • www.symetra.com Mailing Address: PO Box 34690 • Seattle, WA 98124-1690 • Phone 1-800-796-3872 • TTY/TDD 1-800-833-6388</w:t>
      </w:r>
    </w:p>
    <w:p>
      <w:pPr>
        <w:sectPr>
          <w:pgSz w:w="11900" w:h="16838" w:orient="portrait"/>
          <w:cols w:equalWidth="0" w:num="1">
            <w:col w:w="11420"/>
          </w:cols>
          <w:pgMar w:left="240" w:top="125" w:right="2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Benefits: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From your first day of employment, you will be eligible to participate in Symetra’s contributory health, dental and insurance plans, and 401(k) plan. Your vacation accrual will begin at the rate of 20 days per year instead of the normal 10 day schedule. The accrual rate will remain at 20 days per year, until your 11</w:t>
      </w:r>
      <w:r>
        <w:rPr>
          <w:rFonts w:ascii="Arial" w:cs="Arial" w:eastAsia="Arial" w:hAnsi="Arial"/>
          <w:sz w:val="11"/>
          <w:szCs w:val="11"/>
          <w:color w:val="auto"/>
        </w:rPr>
        <w:t>th</w:t>
      </w:r>
      <w:r>
        <w:rPr>
          <w:rFonts w:ascii="Arial" w:cs="Arial" w:eastAsia="Arial" w:hAnsi="Arial"/>
          <w:sz w:val="18"/>
          <w:szCs w:val="18"/>
          <w:color w:val="auto"/>
        </w:rPr>
        <w:t xml:space="preserve"> employment anniversary, at which point it will increase in accordance with the standard accrual schedule.</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Symetra will pay for financial planning assistance through Ayco for up to $16,000 per year. Symetra will pay Ayco directly although you will be responsible for the additional taxes as the $16,000 is considered taxable income.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Relocation</w:t>
      </w:r>
      <w:r>
        <w:rPr>
          <w:rFonts w:ascii="Arial" w:cs="Arial" w:eastAsia="Arial" w:hAnsi="Arial"/>
          <w:sz w:val="18"/>
          <w:szCs w:val="18"/>
          <w:color w:val="auto"/>
        </w:rPr>
        <w:t>:</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Symetra will provide relocation services through Archibald Relocation which includes home sale and home finding assistance. Symetra will also cover approved expenses associated with packing/unpacking of household goods, movement of goods over-the road and moving of up to two personal vehicles to the Hartford, CT area. Symetra will also pay non-recurring closing costs (excluding real estate broker commissions) related to the sale and purchase of a home as a result of your relocation to We expect you to have your move completed within 6 months of your start date. You will also receive an additional amount of $25,000 (net) to assist with various relocation expenses. The foregoing benefits and reimbursements provided during any calendar year will not affect the benefits and reimbursements to be provided to you in any other calendar year, and the right to such benefits and reimbursements cannot be liquidated or exchanged for any other benefit and will be provided in accordance with IRC Section 409A and the regulations thereunder. Further, in the case of reimbursement payments, such payments will be made to you promptly and no later than the last day of the calendar year following the calendar year in which the underlying cost or expense is incurred.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Severance:</w:t>
      </w:r>
    </w:p>
    <w:p>
      <w:pPr>
        <w:spacing w:after="0" w:line="9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the event your employment with Symetra is terminated by Symetra for reasons other than cause during your first two years of employment, you will receive separation pay equal to two times your base salary and one time your target Annual Incentive Bonus, provided you execute and not rescind Symetra’s standard Agreement and Release (“Agreement”), which the company will provide to you within 10 days of your termination date. You must sign your Agreement within 45 days of receipt of the Agreement, and payment shall be made within 20 days of our receipt of your executed Agreement. Should your employment be terminated by Symetra at some later date you will receive severance in accordance with the prevailing practice of the company at that time.</w:t>
      </w:r>
    </w:p>
    <w:p>
      <w:pPr>
        <w:spacing w:after="0" w:line="1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Symetra is making this offer of employment based in part on your representation that you are not currently subject to a written employment contract or any restrictive covenants with a former employer that you would be violating when performing your responsibilities for Symetra. You may not bring any confidential or proprietary information from any former employer to Symetra, or use to the benefit of or disclose to Symetra any such information at any time.</w:t>
      </w:r>
    </w:p>
    <w:p>
      <w:pPr>
        <w:spacing w:after="0" w:line="10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There is no intent in this letter to establish or imply a contract of employment. Our policy is that no representative or employee of the company has the authority to make any pre-employment agreements or employment contracts which would imply guarantees of minimum length of employment.</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We are very excited about your role in Symetra’s future. I truly look forward to working with you to help make Symetra the premier company in the industry.</w:t>
      </w:r>
    </w:p>
    <w:p>
      <w:pPr>
        <w:spacing w:after="0" w:line="23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Sincerely,</w:t>
      </w:r>
      <w:r>
        <w:rPr>
          <w:sz w:val="20"/>
          <w:szCs w:val="20"/>
          <w:color w:val="auto"/>
        </w:rPr>
        <w:tab/>
      </w:r>
      <w:r>
        <w:rPr>
          <w:rFonts w:ascii="Arial" w:cs="Arial" w:eastAsia="Arial" w:hAnsi="Arial"/>
          <w:sz w:val="18"/>
          <w:szCs w:val="18"/>
          <w:color w:val="auto"/>
        </w:rPr>
        <w:t>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1097915" cy="3689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097915" cy="368935"/>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148590</wp:posOffset>
            </wp:positionV>
            <wp:extent cx="1715135" cy="7543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715135" cy="754380"/>
                    </a:xfrm>
                    <a:prstGeom prst="rect">
                      <a:avLst/>
                    </a:prstGeom>
                    <a:noFill/>
                  </pic:spPr>
                </pic:pic>
              </a:graphicData>
            </a:graphic>
          </wp:anchor>
        </w:drawing>
      </w:r>
    </w:p>
    <w:p>
      <w:pPr>
        <w:sectPr>
          <w:pgSz w:w="11900" w:h="16838" w:orient="portrait"/>
          <w:cols w:equalWidth="0" w:num="1">
            <w:col w:w="11340"/>
          </w:cols>
          <w:pgMar w:left="240" w:top="28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Chris Katzmar Holmes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Human Resources and Administration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Craig R. Raymond</w:t>
      </w:r>
    </w:p>
    <w:p>
      <w:pPr>
        <w:spacing w:after="0" w:line="626" w:lineRule="exact"/>
        <w:rPr>
          <w:sz w:val="20"/>
          <w:szCs w:val="20"/>
          <w:color w:val="auto"/>
        </w:rPr>
      </w:pPr>
    </w:p>
    <w:p>
      <w:pPr>
        <w:sectPr>
          <w:pgSz w:w="11900" w:h="16838" w:orient="portrait"/>
          <w:cols w:equalWidth="0" w:num="2">
            <w:col w:w="5100" w:space="720"/>
            <w:col w:w="5520"/>
          </w:cols>
          <w:pgMar w:left="240" w:top="280" w:right="319" w:bottom="1440" w:gutter="0" w:footer="0" w:header="0"/>
          <w:type w:val="continuous"/>
        </w:sectPr>
      </w:pPr>
    </w:p>
    <w:p>
      <w:pPr>
        <w:ind w:right="2920"/>
        <w:spacing w:after="0" w:line="332" w:lineRule="auto"/>
        <w:rPr>
          <w:sz w:val="20"/>
          <w:szCs w:val="20"/>
          <w:color w:val="auto"/>
        </w:rPr>
      </w:pPr>
      <w:r>
        <w:rPr>
          <w:rFonts w:ascii="Arial" w:cs="Arial" w:eastAsia="Arial" w:hAnsi="Arial"/>
          <w:sz w:val="16"/>
          <w:szCs w:val="16"/>
          <w:color w:val="auto"/>
        </w:rPr>
        <w:t>Symetra Life Insurance Company • 777 108th Avenue NE, Suite 1200 • Bellevue, WA 98004-5135 • www.symetra.com Mailing Address: PO Box 34690 • Seattle, WA 98124-1690 • Phone 1-800-796-3872 • TTY/TDD 1-800-833-6388</w:t>
      </w:r>
    </w:p>
    <w:p>
      <w:pPr>
        <w:sectPr>
          <w:pgSz w:w="11900" w:h="16838" w:orient="portrait"/>
          <w:cols w:equalWidth="0" w:num="1">
            <w:col w:w="11340"/>
          </w:cols>
          <w:pgMar w:left="240" w:top="280" w:right="319" w:bottom="1440" w:gutter="0" w:footer="0" w:header="0"/>
          <w:type w:val="continuous"/>
        </w:sectPr>
      </w:pPr>
    </w:p>
    <w:bookmarkStart w:id="211" w:name="page212"/>
    <w:bookmarkEnd w:id="211"/>
    <w:p>
      <w:pPr>
        <w:jc w:val="right"/>
        <w:spacing w:after="0"/>
        <w:rPr>
          <w:sz w:val="20"/>
          <w:szCs w:val="20"/>
          <w:color w:val="auto"/>
        </w:rPr>
      </w:pPr>
      <w:r>
        <w:rPr>
          <w:rFonts w:ascii="Arial" w:cs="Arial" w:eastAsia="Arial" w:hAnsi="Arial"/>
          <w:sz w:val="16"/>
          <w:szCs w:val="16"/>
          <w:b w:val="1"/>
          <w:bCs w:val="1"/>
          <w:color w:val="auto"/>
        </w:rPr>
        <w:t>Exhibit 10.46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81280</wp:posOffset>
            </wp:positionV>
            <wp:extent cx="1097915" cy="3600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097915" cy="3600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August 30, 2010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Thomas M. Marra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188" w:lineRule="exact"/>
        <w:rPr>
          <w:sz w:val="20"/>
          <w:szCs w:val="20"/>
          <w:color w:val="auto"/>
        </w:rPr>
      </w:pPr>
    </w:p>
    <w:p>
      <w:pPr>
        <w:sectPr>
          <w:pgSz w:w="11900" w:h="16838" w:orient="portrait"/>
          <w:cols w:equalWidth="0" w:num="2">
            <w:col w:w="7180" w:space="720"/>
            <w:col w:w="352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color w:val="auto"/>
        </w:rPr>
        <w:t>Daniel R. Guilbert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2524 Saddlebrook Drive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Naperville, IL 60564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Dan:</w:t>
      </w:r>
    </w:p>
    <w:p>
      <w:pPr>
        <w:sectPr>
          <w:pgSz w:w="11900" w:h="16838" w:orient="portrait"/>
          <w:cols w:equalWidth="0" w:num="1">
            <w:col w:w="11420"/>
          </w:cols>
          <w:pgMar w:left="240" w:top="125" w:right="239" w:bottom="1440" w:gutter="0" w:footer="0" w:header="0"/>
          <w:type w:val="continuous"/>
        </w:sectPr>
      </w:pPr>
    </w:p>
    <w:p>
      <w:pPr>
        <w:spacing w:after="0" w:line="171"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We are very excited at the prospect of your accepting our offer as Executive Vice President of Retirement Services for Symetra Life Insurance Company. With your experience, track record and drive for results, we look forward to your joining our team. In this position, you will report to me, the President and CEO.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offer includes the following elements: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Your salary will be $14,423.08 each bi-weekly pay period, equivalent to $375,000 annually.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Bonus</w:t>
      </w:r>
      <w:r>
        <w:rPr>
          <w:rFonts w:ascii="Arial" w:cs="Arial" w:eastAsia="Arial" w:hAnsi="Arial"/>
          <w:sz w:val="18"/>
          <w:szCs w:val="18"/>
          <w:color w:val="auto"/>
        </w:rPr>
        <w:t>:</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Your target bonus under the Annual Incentive Bonus (AIB) will be 50% of your annualized base salary. Your bonus can range from 0% to 200% of your target based on Company performance and your individual performance. However, for the 2010 plan year you will receive your full target bonus of $187,500 in March,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 Term Incentive</w:t>
      </w:r>
      <w:r>
        <w:rPr>
          <w:rFonts w:ascii="Arial" w:cs="Arial" w:eastAsia="Arial" w:hAnsi="Arial"/>
          <w:sz w:val="18"/>
          <w:szCs w:val="18"/>
          <w:color w:val="auto"/>
        </w:rPr>
        <w:t>:</w:t>
      </w:r>
    </w:p>
    <w:p>
      <w:pPr>
        <w:spacing w:after="0" w:line="9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You will also participate in the Symetra Financial Corporation Equity Plan. At commencement of your employment, you will receive a long-term incentive grant for the three-year 2010-2012 performance cycle with a grant value of $500,000. The grant will be split 70/30 between Performance Units and Restricted Stock. You will receive 3,500 Performance Units that have an initial value of $100 per unit and grow in value each year by the Company’s modified operating return on equity. The earned value of the Performance Units at the end of 2012 will vary from 0% to 200% of target based on the Company’s average annual modified operating ROE. The target is 12%. At 7% or less, the earned value of the Performance Units will be 0% of target, and at 17% or more, the earned value will be 200% of target. In addition, you will receive shares of Restricted Stock valued at $150,000 that will vest on December 31, 2012. The actual number of shares will be determined by the closing price of SYA on your start date. These grants are subject to all of the terms and conditions of the Performance Unit Award and Restricted Stock Award Agreements, including “double-trigger” change in control protections. We would expect you to be eligible for similar annual grants in future years.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Options:</w:t>
      </w:r>
    </w:p>
    <w:p>
      <w:pPr>
        <w:spacing w:after="0" w:line="90"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To further incentivize you to create great results for the shareholders of Symetra, you will be granted options to purchase 300,000 shares of Symetra common stock with an exercise price of $28 per share. These options will cliff vest on June 30, 2017 and will expire on June 30, 2018. This is intended as a one-time grant.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Sign-On Bonus</w:t>
      </w:r>
      <w:r>
        <w:rPr>
          <w:rFonts w:ascii="Arial" w:cs="Arial" w:eastAsia="Arial" w:hAnsi="Arial"/>
          <w:sz w:val="18"/>
          <w:szCs w:val="18"/>
          <w:color w:val="auto"/>
        </w:rPr>
        <w:t>:</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will provide a bonus of three payments of $250,000 (gross) to be made in May 2011, May 2012 and May 2013. You must be an employee of Symetra on these dates to receive these payments.</w:t>
      </w:r>
    </w:p>
    <w:p>
      <w:pPr>
        <w:spacing w:after="0" w:line="172" w:lineRule="exact"/>
        <w:rPr>
          <w:sz w:val="20"/>
          <w:szCs w:val="20"/>
          <w:color w:val="auto"/>
        </w:rPr>
      </w:pPr>
    </w:p>
    <w:p>
      <w:pPr>
        <w:jc w:val="both"/>
        <w:ind w:left="820" w:right="4680" w:hanging="812"/>
        <w:spacing w:after="0" w:line="332" w:lineRule="auto"/>
        <w:tabs>
          <w:tab w:leader="none" w:pos="820" w:val="left"/>
        </w:tabs>
        <w:numPr>
          <w:ilvl w:val="0"/>
          <w:numId w:val="130"/>
        </w:numPr>
        <w:rPr>
          <w:rFonts w:ascii="MS PGothic" w:cs="MS PGothic" w:eastAsia="MS PGothic" w:hAnsi="MS PGothic"/>
          <w:sz w:val="16"/>
          <w:szCs w:val="16"/>
          <w:color w:val="auto"/>
        </w:rPr>
      </w:pPr>
      <w:r>
        <w:rPr>
          <w:rFonts w:ascii="Arial" w:cs="Arial" w:eastAsia="Arial" w:hAnsi="Arial"/>
          <w:sz w:val="16"/>
          <w:szCs w:val="16"/>
          <w:color w:val="auto"/>
        </w:rPr>
        <w:t>Symetra Financial Corporation • 777 108th Avenue NE • Bellevue, WA 98004-5135 Mailing Address: PO Box 34690 • Seattle, WA 98124-1690 • Phone (425) 256-8245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368935" cy="2832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68935" cy="283210"/>
                    </a:xfrm>
                    <a:prstGeom prst="rect">
                      <a:avLst/>
                    </a:prstGeom>
                    <a:noFill/>
                  </pic:spPr>
                </pic:pic>
              </a:graphicData>
            </a:graphic>
          </wp:anchor>
        </w:drawing>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type w:val="continuous"/>
        </w:sectPr>
      </w:pPr>
    </w:p>
    <w:bookmarkStart w:id="212" w:name="page213"/>
    <w:bookmarkEnd w:id="21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Relocation:</w:t>
      </w:r>
    </w:p>
    <w:p>
      <w:pPr>
        <w:spacing w:after="0" w:line="9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company will reimburse you for the moving of your household goods (packing, unpacking and transportation for up to two autos). The company will also pay non-recurring closing costs (excluding real estate broker commissions) related to the sale and purchase of a home as a result of your relocation to the Bellevue vicinity. You will also receive an amount of $200,000 (gross) to assist with various relocation expenses. The foregoing benefits and reimbursements provided during any calendar year will not affect the benefits and reimbursements to be provided to you in any other calendar year, and the right to such benefits and reimbursements cannot be liquidated or exchanged for any other benefit and will be provided in accordance with IRC Section 409A and the regulations thereunder. Further, in the case of reimbursement payments, such payments will be made to you promptly and no later than the last day of the calendar year following the calendar year in which the underlying cost or expense is incurred.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Benefits:</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From your first day of employment, you will be eligible to participate in Symetra’s contributory health, dental and insurance plans, and 401(k) plan. You will also accrue vacation at a rate of 20 days per year.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Severance:</w:t>
      </w:r>
    </w:p>
    <w:p>
      <w:pPr>
        <w:spacing w:after="0" w:line="90"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In the event your employment with Symetra is terminated by Symetra for reasons other than cause during your first two years of employment, you will receive separation pay equal to two times base salary and one times your target Annual Incentive Bonus, provided you execute and not rescind Symetra’s standard Agreement and Release (“Agreement”), which the company will provide to you within 10 days of your termination date. You must sign your Agreement within 45 days of receipt of the Agreement, and payment shall be made within 20 days of our receipt of your executed Agreement. Should your employment be terminated by Symetra at some later date you will receive severance in accordance with the prevailing practice of the company at that time.</w:t>
      </w:r>
    </w:p>
    <w:p>
      <w:pPr>
        <w:spacing w:after="0" w:line="1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Symetra is making this offer of employment based in part on your representation that you are not currently subject to a written employment contract or any restrictive covenants with a former employer that you would be violating when performing your responsibilities for Symetra. You may not bring any confidential or proprietary information from any former employer to Symetra, or use to the benefit of or disclose to Symetra any such information at any time.</w:t>
      </w:r>
    </w:p>
    <w:p>
      <w:pPr>
        <w:spacing w:after="0" w:line="10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This offer is contingent upon receipt of satisfactory references and the successful completion of background checks which may include criminal, education, and past employment. The officer title is subject to approval by the board of directors of Symetra Life Insurance Company. Also, there is no intent in this letter to establish or imply a contract of employment. Our policy is that no representative of the company or employee has the authority to make any pre-employment agreements or employment contracts which would imply guarantees of minimum length of employment.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are very excited about your role in Symetra’s future. I truly look forward to working with you to help make Symetra the premier company in the industry.</w:t>
      </w:r>
    </w:p>
    <w:p>
      <w:pPr>
        <w:spacing w:after="0" w:line="23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Sincerely,</w:t>
      </w:r>
      <w:r>
        <w:rPr>
          <w:sz w:val="20"/>
          <w:szCs w:val="20"/>
          <w:color w:val="auto"/>
        </w:rPr>
        <w:tab/>
      </w:r>
      <w:r>
        <w:rPr>
          <w:rFonts w:ascii="Arial" w:cs="Arial" w:eastAsia="Arial" w:hAnsi="Arial"/>
          <w:sz w:val="18"/>
          <w:szCs w:val="18"/>
          <w:color w:val="auto"/>
        </w:rPr>
        <w:t>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500505" cy="3086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50050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Tom Marra</w:t>
            </w:r>
          </w:p>
        </w:tc>
        <w:tc>
          <w:tcPr>
            <w:tcW w:w="230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R. Guilbert</w:t>
            </w: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President and CEO</w:t>
            </w:r>
          </w:p>
        </w:tc>
        <w:tc>
          <w:tcPr>
            <w:tcW w:w="23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Daniel R. Guilbert</w:t>
            </w:r>
          </w:p>
        </w:tc>
      </w:tr>
      <w:tr>
        <w:trPr>
          <w:trHeight w:val="365"/>
        </w:trPr>
        <w:tc>
          <w:tcPr>
            <w:tcW w:w="352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9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 (Form S-8 No. 333-164506) pertaining to the Symetra Financial Corporation Equity Plan and the Symetra Financial Corporation Employee Stock Purchase Plan of our reports dated February 26, 2013, with respect to the consolidated financial statements and schedules of Symetra Financial Corporation, and the effectiveness of internal control over financial reporting of Symetra Financial Corporation, included in this Annual Report (Form 10-K) for the year ended December 31, 2012.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ectPr>
          <w:pgSz w:w="11900" w:h="16838" w:orient="portrait"/>
          <w:cols w:equalWidth="0" w:num="1">
            <w:col w:w="11420"/>
          </w:cols>
          <w:pgMar w:left="240" w:top="131"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24.1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undersigned director of Symetra Financial Corporation, a Delaware corporation, does hereby make, constitute and appoint Margaret A. Meister and David S. Goldstein, or each of them, as true and lawful attorneys-in-fact and agents of the undersigned, with full power and authority to execute in such director’s name, and on behalf of Symetra Financial Corporation, the 2012 Annual Report on Form 10-K, under the Securities Exchange Act of 1934, together with any amendments thereto, hereby ratifying and confirming all that said attorneys and agents and each of them may do by virtue hereof.</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duly executed these presents this 19</w:t>
      </w:r>
      <w:r>
        <w:rPr>
          <w:rFonts w:ascii="Arial" w:cs="Arial" w:eastAsia="Arial" w:hAnsi="Arial"/>
          <w:sz w:val="11"/>
          <w:szCs w:val="11"/>
          <w:color w:val="auto"/>
        </w:rPr>
        <w:t>th</w:t>
      </w:r>
      <w:r>
        <w:rPr>
          <w:rFonts w:ascii="Arial" w:cs="Arial" w:eastAsia="Arial" w:hAnsi="Arial"/>
          <w:sz w:val="18"/>
          <w:szCs w:val="18"/>
          <w:color w:val="auto"/>
        </w:rPr>
        <w:t xml:space="preserve"> day of February 2013.</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Peter S. Burgess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Peter S. Burgess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1">
            <w:col w:w="11420"/>
          </w:cols>
          <w:pgMar w:left="240" w:top="125" w:right="239" w:bottom="1440" w:gutter="0" w:footer="0" w:header="0"/>
        </w:sectPr>
      </w:pPr>
    </w:p>
    <w:bookmarkStart w:id="215" w:name="page216"/>
    <w:bookmarkEnd w:id="2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director of Symetra Financial Corporation, a Delaware corporation, does hereby make, constitute and appoint Margaret A. Meister and David S. Goldstein, or each of them, as true and lawful attorneys-in-fact and agents of the undersigned, with full power and authority to execute in such director’s name, and on behalf of Symetra Financial Corporation, the 2012 Annual Report on Form 10-K, under the Securities Exchange Act of 1934, together with any amendments thereto, hereby ratifying and confirming all that said attorneys and agents and each of them may do by virtue hereof.</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duly executed these presents this 20</w:t>
      </w:r>
      <w:r>
        <w:rPr>
          <w:rFonts w:ascii="Arial" w:cs="Arial" w:eastAsia="Arial" w:hAnsi="Arial"/>
          <w:sz w:val="11"/>
          <w:szCs w:val="11"/>
          <w:color w:val="auto"/>
        </w:rPr>
        <w:t>th</w:t>
      </w:r>
      <w:r>
        <w:rPr>
          <w:rFonts w:ascii="Arial" w:cs="Arial" w:eastAsia="Arial" w:hAnsi="Arial"/>
          <w:sz w:val="18"/>
          <w:szCs w:val="18"/>
          <w:color w:val="auto"/>
        </w:rPr>
        <w:t xml:space="preserve"> day of February 2013.</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David T. Foy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David T. Foy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1">
            <w:col w:w="11380"/>
          </w:cols>
          <w:pgMar w:left="240" w:top="274" w:right="279" w:bottom="1440" w:gutter="0" w:footer="0" w:header="0"/>
        </w:sectPr>
      </w:pPr>
    </w:p>
    <w:bookmarkStart w:id="216" w:name="page217"/>
    <w:bookmarkEnd w:id="21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director of Symetra Financial Corporation, a Delaware corporation, does hereby make, constitute and appoint Margaret A. Meister and David S. Goldstein, or each of them, as true and lawful attorneys-in-fact and agents of the undersigned, with full power and authority to execute in such director’s name, and on behalf of Symetra Financial Corporation, the 2012 Annual Report on Form 10-K, under the Securities Exchange Act of 1934, together with any amendments thereto, hereby ratifying and confirming all that said attorneys and agents and each of them may do by virtue hereof.</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duly executed these presents this 18</w:t>
      </w:r>
      <w:r>
        <w:rPr>
          <w:rFonts w:ascii="Arial" w:cs="Arial" w:eastAsia="Arial" w:hAnsi="Arial"/>
          <w:sz w:val="11"/>
          <w:szCs w:val="11"/>
          <w:color w:val="auto"/>
        </w:rPr>
        <w:t>th</w:t>
      </w:r>
      <w:r>
        <w:rPr>
          <w:rFonts w:ascii="Arial" w:cs="Arial" w:eastAsia="Arial" w:hAnsi="Arial"/>
          <w:sz w:val="18"/>
          <w:szCs w:val="18"/>
          <w:color w:val="auto"/>
        </w:rPr>
        <w:t xml:space="preserve"> day of February 2013.</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Lois W. Grady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Lois W. Grady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1">
            <w:col w:w="11380"/>
          </w:cols>
          <w:pgMar w:left="240" w:top="274" w:right="279" w:bottom="1440" w:gutter="0" w:footer="0" w:header="0"/>
        </w:sectPr>
      </w:pPr>
    </w:p>
    <w:bookmarkStart w:id="217" w:name="page218"/>
    <w:bookmarkEnd w:id="21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director of Symetra Financial Corporation, a Delaware corporation, does hereby make, constitute and appoint Margaret A. Meister and David S. Goldstein, or each of them, as true and lawful attorneys-in-fact and agents of the undersigned, with full power and authority to execute in such director’s name, and on behalf of Symetra Financial Corporation, the 2012 Annual Report on Form 10-K, under the Securities Exchange Act of 1934, together with any amendments thereto, hereby ratifying and confirming all that said attorneys and agents and each of them may do by virtue hereof.</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duly executed these presents this 19</w:t>
      </w:r>
      <w:r>
        <w:rPr>
          <w:rFonts w:ascii="Arial" w:cs="Arial" w:eastAsia="Arial" w:hAnsi="Arial"/>
          <w:sz w:val="11"/>
          <w:szCs w:val="11"/>
          <w:color w:val="auto"/>
        </w:rPr>
        <w:t>th</w:t>
      </w:r>
      <w:r>
        <w:rPr>
          <w:rFonts w:ascii="Arial" w:cs="Arial" w:eastAsia="Arial" w:hAnsi="Arial"/>
          <w:sz w:val="18"/>
          <w:szCs w:val="18"/>
          <w:color w:val="auto"/>
        </w:rPr>
        <w:t xml:space="preserve"> day of February 2013.</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Sander M.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Sander M. Levy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1">
            <w:col w:w="11380"/>
          </w:cols>
          <w:pgMar w:left="240" w:top="274" w:right="279" w:bottom="1440" w:gutter="0" w:footer="0" w:header="0"/>
        </w:sectPr>
      </w:pPr>
    </w:p>
    <w:bookmarkStart w:id="218" w:name="page219"/>
    <w:bookmarkEnd w:id="2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director of Symetra Financial Corporation, a Delaware corporation, does hereby make, constitute and appoint Margaret A. Meister and David S. Goldstein, or each of them, as true and lawful attorneys-in-fact and agents of the undersigned, with full power and authority to execute in such director’s name, and on behalf of Symetra Financial Corporation, the 2012 Annual Report on Form 10-K, under the Securities Exchange Act of 1934, together with any amendments thereto, hereby ratifying and confirming all that said attorneys and agents and each of them may do by virtue hereof.</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duly executed these presents this 16</w:t>
      </w:r>
      <w:r>
        <w:rPr>
          <w:rFonts w:ascii="Arial" w:cs="Arial" w:eastAsia="Arial" w:hAnsi="Arial"/>
          <w:sz w:val="11"/>
          <w:szCs w:val="11"/>
          <w:color w:val="auto"/>
        </w:rPr>
        <w:t>th</w:t>
      </w:r>
      <w:r>
        <w:rPr>
          <w:rFonts w:ascii="Arial" w:cs="Arial" w:eastAsia="Arial" w:hAnsi="Arial"/>
          <w:sz w:val="18"/>
          <w:szCs w:val="18"/>
          <w:color w:val="auto"/>
        </w:rPr>
        <w:t xml:space="preserve"> day of February 2013.</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Lowndes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Lowndes A.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1">
            <w:col w:w="11380"/>
          </w:cols>
          <w:pgMar w:left="240" w:top="274" w:right="27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Thomas M. Marra, certify that:</w:t>
      </w:r>
    </w:p>
    <w:p>
      <w:pPr>
        <w:spacing w:after="0" w:line="212" w:lineRule="exact"/>
        <w:rPr>
          <w:sz w:val="20"/>
          <w:szCs w:val="20"/>
          <w:color w:val="auto"/>
        </w:rPr>
      </w:pPr>
    </w:p>
    <w:p>
      <w:pPr>
        <w:ind w:left="320" w:hanging="312"/>
        <w:spacing w:after="0"/>
        <w:tabs>
          <w:tab w:leader="none" w:pos="3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Symetra Financial Corporation (the “registrant”);</w:t>
      </w:r>
    </w:p>
    <w:p>
      <w:pPr>
        <w:spacing w:after="0" w:line="15" w:lineRule="exact"/>
        <w:rPr>
          <w:rFonts w:ascii="Arial" w:cs="Arial" w:eastAsia="Arial" w:hAnsi="Arial"/>
          <w:sz w:val="18"/>
          <w:szCs w:val="18"/>
          <w:color w:val="auto"/>
        </w:rPr>
      </w:pPr>
    </w:p>
    <w:p>
      <w:pPr>
        <w:ind w:left="320" w:right="100" w:hanging="312"/>
        <w:spacing w:after="0" w:line="281" w:lineRule="auto"/>
        <w:tabs>
          <w:tab w:leader="none" w:pos="3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320" w:right="200" w:hanging="312"/>
        <w:spacing w:after="0" w:line="250" w:lineRule="auto"/>
        <w:tabs>
          <w:tab w:leader="none" w:pos="3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0" w:right="40" w:hanging="312"/>
        <w:spacing w:after="0" w:line="250" w:lineRule="auto"/>
        <w:tabs>
          <w:tab w:leader="none" w:pos="3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940" w:right="60" w:hanging="311"/>
        <w:spacing w:after="0" w:line="250" w:lineRule="auto"/>
        <w:tabs>
          <w:tab w:leader="none" w:pos="9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940" w:right="40" w:hanging="311"/>
        <w:spacing w:after="0" w:line="250" w:lineRule="auto"/>
        <w:tabs>
          <w:tab w:leader="none" w:pos="9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940" w:right="80" w:hanging="311"/>
        <w:spacing w:after="0" w:line="281" w:lineRule="auto"/>
        <w:tabs>
          <w:tab w:leader="none" w:pos="94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40" w:right="120" w:hanging="311"/>
        <w:spacing w:after="0" w:line="250" w:lineRule="auto"/>
        <w:tabs>
          <w:tab w:leader="none" w:pos="9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20" w:right="780" w:hanging="312"/>
        <w:spacing w:after="0" w:line="281" w:lineRule="auto"/>
        <w:tabs>
          <w:tab w:leader="none" w:pos="3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40" w:right="420" w:hanging="311"/>
        <w:spacing w:after="0" w:line="281" w:lineRule="auto"/>
        <w:tabs>
          <w:tab w:leader="none" w:pos="94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940" w:right="20" w:hanging="311"/>
        <w:spacing w:after="0" w:line="261" w:lineRule="auto"/>
        <w:tabs>
          <w:tab w:leader="none" w:pos="9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9"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color w:val="auto"/>
        </w:rPr>
        <w:t>Date: February 26, 2013</w:t>
      </w:r>
      <w:r>
        <w:rPr>
          <w:sz w:val="20"/>
          <w:szCs w:val="20"/>
          <w:color w:val="auto"/>
        </w:rPr>
        <w:tab/>
      </w:r>
      <w:r>
        <w:rPr>
          <w:rFonts w:ascii="Arial" w:cs="Arial" w:eastAsia="Arial" w:hAnsi="Arial"/>
          <w:sz w:val="16"/>
          <w:szCs w:val="16"/>
          <w:color w:val="auto"/>
        </w:rPr>
        <w:t>By: /s/ Thomas M. Marra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10795</wp:posOffset>
            </wp:positionV>
            <wp:extent cx="282130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Thomas M. Marra</w:t>
      </w:r>
    </w:p>
    <w:p>
      <w:pPr>
        <w:spacing w:after="0" w:line="9" w:lineRule="exact"/>
        <w:rPr>
          <w:sz w:val="20"/>
          <w:szCs w:val="20"/>
          <w:color w:val="auto"/>
        </w:rPr>
      </w:pPr>
    </w:p>
    <w:p>
      <w:pPr>
        <w:ind w:left="4820"/>
        <w:spacing w:after="0"/>
        <w:tabs>
          <w:tab w:leader="none" w:pos="5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ectPr>
          <w:pgSz w:w="11900" w:h="16838" w:orient="portrait"/>
          <w:cols w:equalWidth="0" w:num="1">
            <w:col w:w="11420"/>
          </w:cols>
          <w:pgMar w:left="240" w:top="125"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Margaret A. Meister, certify that:</w:t>
      </w:r>
    </w:p>
    <w:p>
      <w:pPr>
        <w:spacing w:after="0" w:line="212" w:lineRule="exact"/>
        <w:rPr>
          <w:sz w:val="20"/>
          <w:szCs w:val="20"/>
          <w:color w:val="auto"/>
        </w:rPr>
      </w:pPr>
    </w:p>
    <w:p>
      <w:pPr>
        <w:ind w:left="320" w:hanging="312"/>
        <w:spacing w:after="0"/>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Symetra Financial Corporation (the “registrant”);</w:t>
      </w:r>
    </w:p>
    <w:p>
      <w:pPr>
        <w:spacing w:after="0" w:line="15" w:lineRule="exact"/>
        <w:rPr>
          <w:rFonts w:ascii="Arial" w:cs="Arial" w:eastAsia="Arial" w:hAnsi="Arial"/>
          <w:sz w:val="18"/>
          <w:szCs w:val="18"/>
          <w:color w:val="auto"/>
        </w:rPr>
      </w:pPr>
    </w:p>
    <w:p>
      <w:pPr>
        <w:ind w:left="320" w:right="100" w:hanging="312"/>
        <w:spacing w:after="0" w:line="281" w:lineRule="auto"/>
        <w:tabs>
          <w:tab w:leader="none" w:pos="3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320" w:right="200" w:hanging="312"/>
        <w:spacing w:after="0" w:line="250" w:lineRule="auto"/>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0" w:right="40" w:hanging="312"/>
        <w:spacing w:after="0" w:line="250" w:lineRule="auto"/>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940" w:right="60" w:hanging="311"/>
        <w:spacing w:after="0" w:line="250" w:lineRule="auto"/>
        <w:tabs>
          <w:tab w:leader="none" w:pos="9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940" w:right="40" w:hanging="311"/>
        <w:spacing w:after="0" w:line="250" w:lineRule="auto"/>
        <w:tabs>
          <w:tab w:leader="none" w:pos="9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940" w:right="80" w:hanging="311"/>
        <w:spacing w:after="0" w:line="281" w:lineRule="auto"/>
        <w:tabs>
          <w:tab w:leader="none" w:pos="94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40" w:right="120" w:hanging="311"/>
        <w:spacing w:after="0" w:line="250" w:lineRule="auto"/>
        <w:tabs>
          <w:tab w:leader="none" w:pos="9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20" w:right="780" w:hanging="312"/>
        <w:spacing w:after="0" w:line="281" w:lineRule="auto"/>
        <w:tabs>
          <w:tab w:leader="none" w:pos="3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40" w:right="420" w:hanging="311"/>
        <w:spacing w:after="0" w:line="281" w:lineRule="auto"/>
        <w:tabs>
          <w:tab w:leader="none" w:pos="94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940" w:right="20" w:hanging="311"/>
        <w:spacing w:after="0" w:line="261" w:lineRule="auto"/>
        <w:tabs>
          <w:tab w:leader="none" w:pos="9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9"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Date: February 26, 2013</w:t>
      </w:r>
      <w:r>
        <w:rPr>
          <w:sz w:val="20"/>
          <w:szCs w:val="20"/>
          <w:color w:val="auto"/>
        </w:rPr>
        <w:tab/>
      </w:r>
      <w:r>
        <w:rPr>
          <w:rFonts w:ascii="Arial" w:cs="Arial" w:eastAsia="Arial" w:hAnsi="Arial"/>
          <w:sz w:val="16"/>
          <w:szCs w:val="16"/>
          <w:color w:val="auto"/>
        </w:rPr>
        <w:t>By: /s/ Margaret A.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10795</wp:posOffset>
            </wp:positionV>
            <wp:extent cx="282130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Margaret A. Meister</w:t>
      </w:r>
    </w:p>
    <w:p>
      <w:pPr>
        <w:spacing w:after="0" w:line="9"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w:t>
      </w:r>
    </w:p>
    <w:p>
      <w:pPr>
        <w:sectPr>
          <w:pgSz w:w="11900" w:h="16838" w:orient="portrait"/>
          <w:cols w:equalWidth="0" w:num="1">
            <w:col w:w="11420"/>
          </w:cols>
          <w:pgMar w:left="240" w:top="125"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1350 of Chapter 63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Title 18 of the United States Code</w:t>
      </w:r>
    </w:p>
    <w:p>
      <w:pPr>
        <w:spacing w:after="0" w:line="165" w:lineRule="exact"/>
        <w:rPr>
          <w:sz w:val="20"/>
          <w:szCs w:val="20"/>
          <w:color w:val="auto"/>
        </w:rPr>
      </w:pPr>
    </w:p>
    <w:p>
      <w:pPr>
        <w:ind w:right="40" w:firstLine="632"/>
        <w:spacing w:after="0" w:line="306" w:lineRule="auto"/>
        <w:rPr>
          <w:sz w:val="20"/>
          <w:szCs w:val="20"/>
          <w:color w:val="auto"/>
        </w:rPr>
      </w:pPr>
      <w:r>
        <w:rPr>
          <w:rFonts w:ascii="Arial" w:cs="Arial" w:eastAsia="Arial" w:hAnsi="Arial"/>
          <w:sz w:val="16"/>
          <w:szCs w:val="16"/>
          <w:color w:val="auto"/>
        </w:rPr>
        <w:t>I, Thomas M. Marra, Chief Executive Officer of Symetra Financial Corporation, certify that (i) the Form 10-K for the year ended December 31, 2012 fully complies with the requirements of Section 13(a) or 15(d) of the Securities Exchange Act of 1934 and (ii) the information contained in the Form 10-K for the year ended December 31, 2012 fairly presents, in all material respects, the financial condition and results of operations of Symetra Financial Corporation.</w:t>
      </w:r>
    </w:p>
    <w:p>
      <w:pPr>
        <w:spacing w:after="0" w:line="228"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Date: February 26, 2013</w:t>
      </w:r>
      <w:r>
        <w:rPr>
          <w:sz w:val="20"/>
          <w:szCs w:val="20"/>
          <w:color w:val="auto"/>
        </w:rPr>
        <w:tab/>
      </w:r>
      <w:r>
        <w:rPr>
          <w:rFonts w:ascii="Arial" w:cs="Arial" w:eastAsia="Arial" w:hAnsi="Arial"/>
          <w:sz w:val="16"/>
          <w:szCs w:val="16"/>
          <w:color w:val="auto"/>
        </w:rPr>
        <w:t>By: /s/ Thomas M. Marra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10795</wp:posOffset>
            </wp:positionV>
            <wp:extent cx="282130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Thomas M. Marra</w:t>
      </w:r>
    </w:p>
    <w:p>
      <w:pPr>
        <w:spacing w:after="0" w:line="9" w:lineRule="exact"/>
        <w:rPr>
          <w:sz w:val="20"/>
          <w:szCs w:val="20"/>
          <w:color w:val="auto"/>
        </w:rPr>
      </w:pPr>
    </w:p>
    <w:p>
      <w:pPr>
        <w:ind w:left="4920"/>
        <w:spacing w:after="0"/>
        <w:tabs>
          <w:tab w:leader="none" w:pos="5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ectPr>
          <w:pgSz w:w="11900" w:h="16838" w:orient="portrait"/>
          <w:cols w:equalWidth="0" w:num="1">
            <w:col w:w="11420"/>
          </w:cols>
          <w:pgMar w:left="240" w:top="125"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1350 of Chapter 63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Title 18 of the United States Code</w:t>
      </w:r>
    </w:p>
    <w:p>
      <w:pPr>
        <w:spacing w:after="0" w:line="165" w:lineRule="exact"/>
        <w:rPr>
          <w:sz w:val="20"/>
          <w:szCs w:val="20"/>
          <w:color w:val="auto"/>
        </w:rPr>
      </w:pPr>
    </w:p>
    <w:p>
      <w:pPr>
        <w:ind w:right="40" w:firstLine="632"/>
        <w:spacing w:after="0" w:line="306" w:lineRule="auto"/>
        <w:rPr>
          <w:sz w:val="20"/>
          <w:szCs w:val="20"/>
          <w:color w:val="auto"/>
        </w:rPr>
      </w:pPr>
      <w:r>
        <w:rPr>
          <w:rFonts w:ascii="Arial" w:cs="Arial" w:eastAsia="Arial" w:hAnsi="Arial"/>
          <w:sz w:val="16"/>
          <w:szCs w:val="16"/>
          <w:color w:val="auto"/>
        </w:rPr>
        <w:t>I, Margaret A. Meister, Chief Financial Officer of Symetra Financial Corporation, certify that (i) the Form 10-K for the year ended December 31, 2012 fully complies with the requirements of Section 13(a) or 15(d) of the Securities Exchange Act of 1934 and (ii) the information contained in the Form 10-K for the year ended December 31, 2012 fairly presents, in all material respects, the financial condition and results of operations of Symetra Financial Corporation.</w:t>
      </w:r>
    </w:p>
    <w:p>
      <w:pPr>
        <w:spacing w:after="0" w:line="228" w:lineRule="exact"/>
        <w:rPr>
          <w:sz w:val="20"/>
          <w:szCs w:val="20"/>
          <w:color w:val="auto"/>
        </w:rPr>
      </w:pPr>
    </w:p>
    <w:p>
      <w:pPr>
        <w:spacing w:after="0"/>
        <w:tabs>
          <w:tab w:leader="none" w:pos="4880" w:val="left"/>
          <w:tab w:leader="none" w:pos="5280" w:val="left"/>
        </w:tabs>
        <w:rPr>
          <w:sz w:val="20"/>
          <w:szCs w:val="20"/>
          <w:color w:val="auto"/>
        </w:rPr>
      </w:pPr>
      <w:r>
        <w:rPr>
          <w:rFonts w:ascii="Arial" w:cs="Arial" w:eastAsia="Arial" w:hAnsi="Arial"/>
          <w:sz w:val="18"/>
          <w:szCs w:val="18"/>
          <w:color w:val="auto"/>
        </w:rPr>
        <w:t>Date: February 26,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Margaret A.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10795</wp:posOffset>
            </wp:positionV>
            <wp:extent cx="296735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Margaret A. Meister</w:t>
      </w:r>
    </w:p>
    <w:p>
      <w:pPr>
        <w:spacing w:after="0" w:line="9" w:lineRule="exact"/>
        <w:rPr>
          <w:sz w:val="20"/>
          <w:szCs w:val="20"/>
          <w:color w:val="auto"/>
        </w:rPr>
      </w:pPr>
    </w:p>
    <w:p>
      <w:pPr>
        <w:ind w:left="5220"/>
        <w:spacing w:after="0"/>
        <w:tabs>
          <w:tab w:leader="none" w:pos="5800" w:val="left"/>
        </w:tabs>
        <w:rPr>
          <w:sz w:val="20"/>
          <w:szCs w:val="20"/>
          <w:color w:val="auto"/>
        </w:rPr>
      </w:pPr>
      <w:r>
        <w:rPr>
          <w:rFonts w:ascii="Arial" w:cs="Arial" w:eastAsia="Arial" w:hAnsi="Arial"/>
          <w:sz w:val="18"/>
          <w:szCs w:val="18"/>
          <w:color w:val="auto"/>
        </w:rPr>
        <w:t>Title:</w:t>
        <w:tab/>
        <w:t>Executive Vice President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1)"/>
      <w:numFmt w:val="decimal"/>
      <w:start w:val="1"/>
    </w:lvl>
  </w:abstractNum>
  <w:abstractNum w:abstractNumId="15">
    <w:nsid w:val="5DC79EA8"/>
    <w:multiLevelType w:val="hybridMultilevel"/>
    <w:lvl w:ilvl="0">
      <w:lvlJc w:val="left"/>
      <w:lvlText w:val="(%1)"/>
      <w:numFmt w:val="decimal"/>
      <w:start w:val="2"/>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lvl w:ilvl="1">
      <w:lvlJc w:val="left"/>
      <w:lvlText w:val="\endash "/>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1)"/>
      <w:numFmt w:val="decimal"/>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1)"/>
      <w:numFmt w:val="decimal"/>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
      <w:numFmt w:val="bullet"/>
      <w:start w:val="1"/>
    </w:lvl>
  </w:abstractNum>
  <w:abstractNum w:abstractNumId="38">
    <w:nsid w:val="6F6DD9AC"/>
    <w:multiLevelType w:val="hybridMultilevel"/>
    <w:lvl w:ilvl="0">
      <w:lvlJc w:val="left"/>
      <w:lvlText w:val="•"/>
      <w:numFmt w:val="bullet"/>
      <w:start w:val="1"/>
    </w:lvl>
  </w:abstractNum>
  <w:abstractNum w:abstractNumId="39">
    <w:nsid w:val="94211F2"/>
    <w:multiLevelType w:val="hybridMultilevel"/>
    <w:lvl w:ilvl="0">
      <w:lvlJc w:val="left"/>
      <w:lvlText w:val="•"/>
      <w:numFmt w:val="bullet"/>
      <w:start w:val="1"/>
    </w:lvl>
  </w:abstractNum>
  <w:abstractNum w:abstractNumId="40">
    <w:nsid w:val="885E1B"/>
    <w:multiLevelType w:val="hybridMultilevel"/>
    <w:lvl w:ilvl="0">
      <w:lvlJc w:val="left"/>
      <w:lvlText w:val="•"/>
      <w:numFmt w:val="bullet"/>
      <w:start w:val="1"/>
    </w:lvl>
  </w:abstractNum>
  <w:abstractNum w:abstractNumId="41">
    <w:nsid w:val="76272110"/>
    <w:multiLevelType w:val="hybridMultilevel"/>
    <w:lvl w:ilvl="0">
      <w:lvlJc w:val="left"/>
      <w:lvlText w:val="•"/>
      <w:numFmt w:val="bullet"/>
      <w:start w:val="1"/>
    </w:lvl>
  </w:abstractNum>
  <w:abstractNum w:abstractNumId="42">
    <w:nsid w:val="4C04A8AF"/>
    <w:multiLevelType w:val="hybridMultilevel"/>
    <w:lvl w:ilvl="0">
      <w:lvlJc w:val="left"/>
      <w:lvlText w:val="•"/>
      <w:numFmt w:val="bullet"/>
      <w:start w:val="1"/>
    </w:lvl>
  </w:abstractNum>
  <w:abstractNum w:abstractNumId="43">
    <w:nsid w:val="1716703B"/>
    <w:multiLevelType w:val="hybridMultilevel"/>
    <w:lvl w:ilvl="0">
      <w:lvlJc w:val="left"/>
      <w:lvlText w:val="•"/>
      <w:numFmt w:val="bullet"/>
      <w:start w:val="1"/>
    </w:lvl>
  </w:abstractNum>
  <w:abstractNum w:abstractNumId="44">
    <w:nsid w:val="14E17E33"/>
    <w:multiLevelType w:val="hybridMultilevel"/>
    <w:lvl w:ilvl="0">
      <w:lvlJc w:val="left"/>
      <w:lvlText w:val="*"/>
      <w:numFmt w:val="bullet"/>
      <w:start w:val="1"/>
    </w:lvl>
  </w:abstractNum>
  <w:abstractNum w:abstractNumId="45">
    <w:nsid w:val="3222E7CD"/>
    <w:multiLevelType w:val="hybridMultilevel"/>
    <w:lvl w:ilvl="0">
      <w:lvlJc w:val="left"/>
      <w:lvlText w:val="(%1)"/>
      <w:numFmt w:val="decimal"/>
      <w:start w:val="1"/>
    </w:lvl>
  </w:abstractNum>
  <w:abstractNum w:abstractNumId="46">
    <w:nsid w:val="74DE0EE3"/>
    <w:multiLevelType w:val="hybridMultilevel"/>
    <w:lvl w:ilvl="0">
      <w:lvlJc w:val="left"/>
      <w:lvlText w:val="*"/>
      <w:numFmt w:val="bullet"/>
      <w:start w:val="1"/>
    </w:lvl>
  </w:abstractNum>
  <w:abstractNum w:abstractNumId="47">
    <w:nsid w:val="68EBC550"/>
    <w:multiLevelType w:val="hybridMultilevel"/>
    <w:lvl w:ilvl="0">
      <w:lvlJc w:val="left"/>
      <w:lvlText w:val="(%1)"/>
      <w:numFmt w:val="decimal"/>
      <w:start w:val="1"/>
    </w:lvl>
  </w:abstractNum>
  <w:abstractNum w:abstractNumId="48">
    <w:nsid w:val="2DF6D648"/>
    <w:multiLevelType w:val="hybridMultilevel"/>
    <w:lvl w:ilvl="0">
      <w:lvlJc w:val="left"/>
      <w:lvlText w:val="(%1)"/>
      <w:numFmt w:val="decimal"/>
      <w:start w:val="1"/>
    </w:lvl>
  </w:abstractNum>
  <w:abstractNum w:abstractNumId="49">
    <w:nsid w:val="46B7D447"/>
    <w:multiLevelType w:val="hybridMultilevel"/>
    <w:lvl w:ilvl="0">
      <w:lvlJc w:val="left"/>
      <w:lvlText w:val="*"/>
      <w:numFmt w:val="bullet"/>
      <w:start w:val="1"/>
    </w:lvl>
  </w:abstractNum>
  <w:abstractNum w:abstractNumId="50">
    <w:nsid w:val="4A2AC315"/>
    <w:multiLevelType w:val="hybridMultilevel"/>
    <w:lvl w:ilvl="0">
      <w:lvlJc w:val="left"/>
      <w:lvlText w:val="(%1)"/>
      <w:numFmt w:val="decimal"/>
      <w:start w:val="1"/>
    </w:lvl>
  </w:abstractNum>
  <w:abstractNum w:abstractNumId="51">
    <w:nsid w:val="39EE015C"/>
    <w:multiLevelType w:val="hybridMultilevel"/>
    <w:lvl w:ilvl="0">
      <w:lvlJc w:val="left"/>
      <w:lvlText w:val="(%1)"/>
      <w:numFmt w:val="decimal"/>
      <w:start w:val="2"/>
    </w:lvl>
  </w:abstractNum>
  <w:abstractNum w:abstractNumId="52">
    <w:nsid w:val="57FC4FBB"/>
    <w:multiLevelType w:val="hybridMultilevel"/>
    <w:lvl w:ilvl="0">
      <w:lvlJc w:val="left"/>
      <w:lvlText w:val="*"/>
      <w:numFmt w:val="bullet"/>
      <w:start w:val="1"/>
    </w:lvl>
  </w:abstractNum>
  <w:abstractNum w:abstractNumId="53">
    <w:nsid w:val="CC1016F"/>
    <w:multiLevelType w:val="hybridMultilevel"/>
    <w:lvl w:ilvl="0">
      <w:lvlJc w:val="left"/>
      <w:lvlText w:val="(%1)"/>
      <w:numFmt w:val="decimal"/>
      <w:start w:val="1"/>
    </w:lvl>
  </w:abstractNum>
  <w:abstractNum w:abstractNumId="54">
    <w:nsid w:val="43F18422"/>
    <w:multiLevelType w:val="hybridMultilevel"/>
    <w:lvl w:ilvl="0">
      <w:lvlJc w:val="left"/>
      <w:lvlText w:val="(%1)"/>
      <w:numFmt w:val="decimal"/>
      <w:start w:val="2"/>
    </w:lvl>
  </w:abstractNum>
  <w:abstractNum w:abstractNumId="55">
    <w:nsid w:val="60EF0119"/>
    <w:multiLevelType w:val="hybridMultilevel"/>
    <w:lvl w:ilvl="0">
      <w:lvlJc w:val="left"/>
      <w:lvlText w:val="(%1)"/>
      <w:numFmt w:val="decimal"/>
      <w:start w:val="1"/>
    </w:lvl>
  </w:abstractNum>
  <w:abstractNum w:abstractNumId="56">
    <w:nsid w:val="26F324BA"/>
    <w:multiLevelType w:val="hybridMultilevel"/>
    <w:lvl w:ilvl="0">
      <w:lvlJc w:val="left"/>
      <w:lvlText w:val="(%1)"/>
      <w:numFmt w:val="decimal"/>
      <w:start w:val="4"/>
    </w:lvl>
  </w:abstractNum>
  <w:abstractNum w:abstractNumId="57">
    <w:nsid w:val="7F01579B"/>
    <w:multiLevelType w:val="hybridMultilevel"/>
    <w:lvl w:ilvl="0">
      <w:lvlJc w:val="left"/>
      <w:lvlText w:val="*"/>
      <w:numFmt w:val="bullet"/>
      <w:start w:val="1"/>
    </w:lvl>
  </w:abstractNum>
  <w:abstractNum w:abstractNumId="58">
    <w:nsid w:val="49DA307D"/>
    <w:multiLevelType w:val="hybridMultilevel"/>
    <w:lvl w:ilvl="0">
      <w:lvlJc w:val="left"/>
      <w:lvlText w:val="\endash "/>
      <w:numFmt w:val="bullet"/>
      <w:start w:val="1"/>
    </w:lvl>
  </w:abstractNum>
  <w:abstractNum w:abstractNumId="59">
    <w:nsid w:val="7055A5F5"/>
    <w:multiLevelType w:val="hybridMultilevel"/>
    <w:lvl w:ilvl="0">
      <w:lvlJc w:val="left"/>
      <w:lvlText w:val="(%1)"/>
      <w:numFmt w:val="decimal"/>
      <w:start w:val="1"/>
    </w:lvl>
  </w:abstractNum>
  <w:abstractNum w:abstractNumId="60">
    <w:nsid w:val="5FB8370B"/>
    <w:multiLevelType w:val="hybridMultilevel"/>
    <w:lvl w:ilvl="0">
      <w:lvlJc w:val="left"/>
      <w:lvlText w:val="*"/>
      <w:numFmt w:val="bullet"/>
      <w:start w:val="1"/>
    </w:lvl>
  </w:abstractNum>
  <w:abstractNum w:abstractNumId="61">
    <w:nsid w:val="50801EE1"/>
    <w:multiLevelType w:val="hybridMultilevel"/>
    <w:lvl w:ilvl="0">
      <w:lvlJc w:val="left"/>
      <w:lvlText w:val="(%1)"/>
      <w:numFmt w:val="decimal"/>
      <w:start w:val="1"/>
    </w:lvl>
  </w:abstractNum>
  <w:abstractNum w:abstractNumId="62">
    <w:nsid w:val="488AC1A"/>
    <w:multiLevelType w:val="hybridMultilevel"/>
    <w:lvl w:ilvl="0">
      <w:lvlJc w:val="left"/>
      <w:lvlText w:val="(%1)"/>
      <w:numFmt w:val="decimal"/>
      <w:start w:val="1"/>
    </w:lvl>
  </w:abstractNum>
  <w:abstractNum w:abstractNumId="63">
    <w:nsid w:val="5FB8011C"/>
    <w:multiLevelType w:val="hybridMultilevel"/>
    <w:lvl w:ilvl="0">
      <w:lvlJc w:val="left"/>
      <w:lvlText w:val="•"/>
      <w:numFmt w:val="bullet"/>
      <w:start w:val="1"/>
    </w:lvl>
  </w:abstractNum>
  <w:abstractNum w:abstractNumId="64">
    <w:nsid w:val="6AA78F7F"/>
    <w:multiLevelType w:val="hybridMultilevel"/>
    <w:lvl w:ilvl="0">
      <w:lvlJc w:val="left"/>
      <w:lvlText w:val="(%1)"/>
      <w:numFmt w:val="decimal"/>
      <w:start w:val="1"/>
    </w:lvl>
  </w:abstractNum>
  <w:abstractNum w:abstractNumId="65">
    <w:nsid w:val="7672BD23"/>
    <w:multiLevelType w:val="hybridMultilevel"/>
    <w:lvl w:ilvl="0">
      <w:lvlJc w:val="left"/>
      <w:lvlText w:val="•"/>
      <w:numFmt w:val="bullet"/>
      <w:start w:val="1"/>
    </w:lvl>
  </w:abstractNum>
  <w:abstractNum w:abstractNumId="66">
    <w:nsid w:val="6FC75AF8"/>
    <w:multiLevelType w:val="hybridMultilevel"/>
    <w:lvl w:ilvl="0">
      <w:lvlJc w:val="left"/>
      <w:lvlText w:val="•"/>
      <w:numFmt w:val="bullet"/>
      <w:start w:val="1"/>
    </w:lvl>
  </w:abstractNum>
  <w:abstractNum w:abstractNumId="67">
    <w:nsid w:val="6A5F7029"/>
    <w:multiLevelType w:val="hybridMultilevel"/>
    <w:lvl w:ilvl="0">
      <w:lvlJc w:val="left"/>
      <w:lvlText w:val="•"/>
      <w:numFmt w:val="bullet"/>
      <w:start w:val="1"/>
    </w:lvl>
  </w:abstractNum>
  <w:abstractNum w:abstractNumId="68">
    <w:nsid w:val="7D5E18F8"/>
    <w:multiLevelType w:val="hybridMultilevel"/>
    <w:lvl w:ilvl="0">
      <w:lvlJc w:val="left"/>
      <w:lvlText w:val="(%1)"/>
      <w:numFmt w:val="decimal"/>
      <w:start w:val="1"/>
    </w:lvl>
  </w:abstractNum>
  <w:abstractNum w:abstractNumId="69">
    <w:nsid w:val="5F3534A4"/>
    <w:multiLevelType w:val="hybridMultilevel"/>
    <w:lvl w:ilvl="0">
      <w:lvlJc w:val="left"/>
      <w:lvlText w:val="(%1)"/>
      <w:numFmt w:val="decimal"/>
      <w:start w:val="2"/>
    </w:lvl>
  </w:abstractNum>
  <w:abstractNum w:abstractNumId="70">
    <w:nsid w:val="73A1821B"/>
    <w:multiLevelType w:val="hybridMultilevel"/>
    <w:lvl w:ilvl="0">
      <w:lvlJc w:val="left"/>
      <w:lvlText w:val="%1."/>
      <w:numFmt w:val="decimal"/>
      <w:start w:val="2"/>
    </w:lvl>
  </w:abstractNum>
  <w:abstractNum w:abstractNumId="71">
    <w:nsid w:val="7DE67713"/>
    <w:multiLevelType w:val="hybridMultilevel"/>
    <w:lvl w:ilvl="0">
      <w:lvlJc w:val="left"/>
      <w:lvlText w:val="(%1)"/>
      <w:numFmt w:val="decimal"/>
      <w:start w:val="1"/>
    </w:lvl>
  </w:abstractNum>
  <w:abstractNum w:abstractNumId="72">
    <w:nsid w:val="555C55B5"/>
    <w:multiLevelType w:val="hybridMultilevel"/>
    <w:lvl w:ilvl="0">
      <w:lvlJc w:val="left"/>
      <w:lvlText w:val="•"/>
      <w:numFmt w:val="bullet"/>
      <w:start w:val="1"/>
    </w:lvl>
  </w:abstractNum>
  <w:abstractNum w:abstractNumId="73">
    <w:nsid w:val="3FA62ACA"/>
    <w:multiLevelType w:val="hybridMultilevel"/>
    <w:lvl w:ilvl="0">
      <w:lvlJc w:val="left"/>
      <w:lvlText w:val="•"/>
      <w:numFmt w:val="bullet"/>
      <w:start w:val="1"/>
    </w:lvl>
  </w:abstractNum>
  <w:abstractNum w:abstractNumId="74">
    <w:nsid w:val="14FCE74E"/>
    <w:multiLevelType w:val="hybridMultilevel"/>
    <w:lvl w:ilvl="0">
      <w:lvlJc w:val="left"/>
      <w:lvlText w:val="•"/>
      <w:numFmt w:val="bullet"/>
      <w:start w:val="1"/>
    </w:lvl>
  </w:abstractNum>
  <w:abstractNum w:abstractNumId="75">
    <w:nsid w:val="6A3DD3E8"/>
    <w:multiLevelType w:val="hybridMultilevel"/>
    <w:lvl w:ilvl="0">
      <w:lvlJc w:val="left"/>
      <w:lvlText w:val="•"/>
      <w:numFmt w:val="bullet"/>
      <w:start w:val="1"/>
    </w:lvl>
  </w:abstractNum>
  <w:abstractNum w:abstractNumId="76">
    <w:nsid w:val="71C91298"/>
    <w:multiLevelType w:val="hybridMultilevel"/>
    <w:lvl w:ilvl="0">
      <w:lvlJc w:val="left"/>
      <w:lvlText w:val="(%1)"/>
      <w:numFmt w:val="decimal"/>
      <w:start w:val="1"/>
    </w:lvl>
  </w:abstractNum>
  <w:abstractNum w:abstractNumId="77">
    <w:nsid w:val="9DAF632"/>
    <w:multiLevelType w:val="hybridMultilevel"/>
    <w:lvl w:ilvl="0">
      <w:lvlJc w:val="left"/>
      <w:lvlText w:val="•"/>
      <w:numFmt w:val="bullet"/>
      <w:start w:val="1"/>
    </w:lvl>
  </w:abstractNum>
  <w:abstractNum w:abstractNumId="78">
    <w:nsid w:val="53299938"/>
    <w:multiLevelType w:val="hybridMultilevel"/>
    <w:lvl w:ilvl="0">
      <w:lvlJc w:val="left"/>
      <w:lvlText w:val="(%1)"/>
      <w:numFmt w:val="decimal"/>
      <w:start w:val="1"/>
    </w:lvl>
  </w:abstractNum>
  <w:abstractNum w:abstractNumId="79">
    <w:nsid w:val="1FBFE8E0"/>
    <w:multiLevelType w:val="hybridMultilevel"/>
    <w:lvl w:ilvl="0">
      <w:lvlJc w:val="left"/>
      <w:lvlText w:val="•"/>
      <w:numFmt w:val="bullet"/>
      <w:start w:val="1"/>
    </w:lvl>
  </w:abstractNum>
  <w:abstractNum w:abstractNumId="80">
    <w:nsid w:val="5092CA79"/>
    <w:multiLevelType w:val="hybridMultilevel"/>
    <w:lvl w:ilvl="0">
      <w:lvlJc w:val="left"/>
      <w:lvlText w:val="(%1)"/>
      <w:numFmt w:val="decimal"/>
      <w:start w:val="1"/>
    </w:lvl>
  </w:abstractNum>
  <w:abstractNum w:abstractNumId="81">
    <w:nsid w:val="1D545C4D"/>
    <w:multiLevelType w:val="hybridMultilevel"/>
    <w:lvl w:ilvl="0">
      <w:lvlJc w:val="left"/>
      <w:lvlText w:val="(%1)"/>
      <w:numFmt w:val="decimal"/>
      <w:start w:val="1"/>
    </w:lvl>
  </w:abstractNum>
  <w:abstractNum w:abstractNumId="82">
    <w:nsid w:val="59ADEA3D"/>
    <w:multiLevelType w:val="hybridMultilevel"/>
    <w:lvl w:ilvl="0">
      <w:lvlJc w:val="left"/>
      <w:lvlText w:val="(%1)"/>
      <w:numFmt w:val="decimal"/>
      <w:start w:val="1"/>
    </w:lvl>
  </w:abstractNum>
  <w:abstractNum w:abstractNumId="83">
    <w:nsid w:val="288F1A34"/>
    <w:multiLevelType w:val="hybridMultilevel"/>
    <w:lvl w:ilvl="0">
      <w:lvlJc w:val="left"/>
      <w:lvlText w:val="(%1)"/>
      <w:numFmt w:val="decimal"/>
      <w:start w:val="1"/>
    </w:lvl>
  </w:abstractNum>
  <w:abstractNum w:abstractNumId="84">
    <w:nsid w:val="2A155DBC"/>
    <w:multiLevelType w:val="hybridMultilevel"/>
    <w:lvl w:ilvl="0">
      <w:lvlJc w:val="left"/>
      <w:lvlText w:val="(%1)"/>
      <w:numFmt w:val="decimal"/>
      <w:start w:val="1"/>
    </w:lvl>
  </w:abstractNum>
  <w:abstractNum w:abstractNumId="85">
    <w:nsid w:val="1D9F6E5F"/>
    <w:multiLevelType w:val="hybridMultilevel"/>
    <w:lvl w:ilvl="0">
      <w:lvlJc w:val="left"/>
      <w:lvlText w:val="(%1)"/>
      <w:numFmt w:val="decimal"/>
      <w:start w:val="1"/>
    </w:lvl>
  </w:abstractNum>
  <w:abstractNum w:abstractNumId="86">
    <w:nsid w:val="97E1B4E"/>
    <w:multiLevelType w:val="hybridMultilevel"/>
    <w:lvl w:ilvl="0">
      <w:lvlJc w:val="left"/>
      <w:lvlText w:val="(%1)"/>
      <w:numFmt w:val="decimal"/>
      <w:start w:val="1"/>
    </w:lvl>
  </w:abstractNum>
  <w:abstractNum w:abstractNumId="87">
    <w:nsid w:val="51088277"/>
    <w:multiLevelType w:val="hybridMultilevel"/>
    <w:lvl w:ilvl="0">
      <w:lvlJc w:val="left"/>
      <w:lvlText w:val="(%1)"/>
      <w:numFmt w:val="decimal"/>
      <w:start w:val="1"/>
    </w:lvl>
  </w:abstractNum>
  <w:abstractNum w:abstractNumId="88">
    <w:nsid w:val="1CA0C5FA"/>
    <w:multiLevelType w:val="hybridMultilevel"/>
    <w:lvl w:ilvl="0">
      <w:lvlJc w:val="left"/>
      <w:lvlText w:val="%1."/>
      <w:numFmt w:val="decimal"/>
      <w:start w:val="15"/>
    </w:lvl>
  </w:abstractNum>
  <w:abstractNum w:abstractNumId="89">
    <w:nsid w:val="53584BCB"/>
    <w:multiLevelType w:val="hybridMultilevel"/>
    <w:lvl w:ilvl="0">
      <w:lvlJc w:val="left"/>
      <w:lvlText w:val="(%1)"/>
      <w:numFmt w:val="decimal"/>
      <w:start w:val="1"/>
    </w:lvl>
  </w:abstractNum>
  <w:abstractNum w:abstractNumId="90">
    <w:nsid w:val="415E286C"/>
    <w:multiLevelType w:val="hybridMultilevel"/>
    <w:lvl w:ilvl="0">
      <w:lvlJc w:val="left"/>
      <w:lvlText w:val="•"/>
      <w:numFmt w:val="bullet"/>
      <w:start w:val="1"/>
    </w:lvl>
  </w:abstractNum>
  <w:abstractNum w:abstractNumId="91">
    <w:nsid w:val="7C58FD05"/>
    <w:multiLevelType w:val="hybridMultilevel"/>
    <w:lvl w:ilvl="0">
      <w:lvlJc w:val="left"/>
      <w:lvlText w:val="•"/>
      <w:numFmt w:val="bullet"/>
      <w:start w:val="1"/>
    </w:lvl>
  </w:abstractNum>
  <w:abstractNum w:abstractNumId="92">
    <w:nsid w:val="23D86AAC"/>
    <w:multiLevelType w:val="hybridMultilevel"/>
    <w:lvl w:ilvl="0">
      <w:lvlJc w:val="left"/>
      <w:lvlText w:val="•"/>
      <w:numFmt w:val="bullet"/>
      <w:start w:val="1"/>
    </w:lvl>
  </w:abstractNum>
  <w:abstractNum w:abstractNumId="93">
    <w:nsid w:val="45E6D486"/>
    <w:multiLevelType w:val="hybridMultilevel"/>
    <w:lvl w:ilvl="0">
      <w:lvlJc w:val="left"/>
      <w:lvlText w:val="•"/>
      <w:numFmt w:val="bullet"/>
      <w:start w:val="1"/>
    </w:lvl>
  </w:abstractNum>
  <w:abstractNum w:abstractNumId="94">
    <w:nsid w:val="5C10FE21"/>
    <w:multiLevelType w:val="hybridMultilevel"/>
    <w:lvl w:ilvl="0">
      <w:lvlJc w:val="left"/>
      <w:lvlText w:val="(%1)"/>
      <w:numFmt w:val="decimal"/>
      <w:start w:val="1"/>
    </w:lvl>
  </w:abstractNum>
  <w:abstractNum w:abstractNumId="95">
    <w:nsid w:val="E7FFA2B"/>
    <w:multiLevelType w:val="hybridMultilevel"/>
    <w:lvl w:ilvl="0">
      <w:lvlJc w:val="left"/>
      <w:lvlText w:val="(%1)"/>
      <w:numFmt w:val="decimal"/>
      <w:start w:val="1"/>
    </w:lvl>
  </w:abstractNum>
  <w:abstractNum w:abstractNumId="96">
    <w:nsid w:val="3C5991AA"/>
    <w:multiLevelType w:val="hybridMultilevel"/>
    <w:lvl w:ilvl="0">
      <w:lvlJc w:val="left"/>
      <w:lvlText w:val="(%1)"/>
      <w:numFmt w:val="decimal"/>
      <w:start w:val="1"/>
    </w:lvl>
  </w:abstractNum>
  <w:abstractNum w:abstractNumId="97">
    <w:nsid w:val="4BD8591A"/>
    <w:multiLevelType w:val="hybridMultilevel"/>
    <w:lvl w:ilvl="0">
      <w:lvlJc w:val="left"/>
      <w:lvlText w:val="(%1)"/>
      <w:numFmt w:val="decimal"/>
      <w:start w:val="1"/>
    </w:lvl>
  </w:abstractNum>
  <w:abstractNum w:abstractNumId="98">
    <w:nsid w:val="78DF6A55"/>
    <w:multiLevelType w:val="hybridMultilevel"/>
    <w:lvl w:ilvl="0">
      <w:lvlJc w:val="left"/>
      <w:lvlText w:val="(%1)"/>
      <w:numFmt w:val="lowerLetter"/>
      <w:start w:val="1"/>
    </w:lvl>
  </w:abstractNum>
  <w:abstractNum w:abstractNumId="99">
    <w:nsid w:val="39B7AAA2"/>
    <w:multiLevelType w:val="hybridMultilevel"/>
    <w:lvl w:ilvl="0">
      <w:lvlJc w:val="left"/>
      <w:lvlText w:val="%1."/>
      <w:numFmt w:val="decimal"/>
      <w:start w:val="1"/>
    </w:lvl>
    <w:lvl w:ilvl="1">
      <w:lvlJc w:val="left"/>
      <w:lvlText w:val="•"/>
      <w:numFmt w:val="bullet"/>
      <w:start w:val="1"/>
    </w:lvl>
  </w:abstractNum>
  <w:abstractNum w:abstractNumId="100">
    <w:nsid w:val="2B0D8DBE"/>
    <w:multiLevelType w:val="hybridMultilevel"/>
    <w:lvl w:ilvl="0">
      <w:lvlJc w:val="left"/>
      <w:lvlText w:val="%1."/>
      <w:numFmt w:val="decimal"/>
      <w:start w:val="3"/>
    </w:lvl>
  </w:abstractNum>
  <w:abstractNum w:abstractNumId="101">
    <w:nsid w:val="6C80EC70"/>
    <w:multiLevelType w:val="hybridMultilevel"/>
    <w:lvl w:ilvl="0">
      <w:lvlJc w:val="left"/>
      <w:lvlText w:val="(%1)"/>
      <w:numFmt w:val="decimal"/>
      <w:start w:val="1"/>
    </w:lvl>
  </w:abstractNum>
  <w:abstractNum w:abstractNumId="102">
    <w:nsid w:val="379E21B5"/>
    <w:multiLevelType w:val="hybridMultilevel"/>
    <w:lvl w:ilvl="0">
      <w:lvlJc w:val="left"/>
      <w:lvlText w:val="††"/>
      <w:numFmt w:val="bullet"/>
      <w:start w:val="1"/>
    </w:lvl>
    <w:lvl w:ilvl="1">
      <w:lvlJc w:val="left"/>
      <w:lvlText w:val="%2"/>
      <w:numFmt w:val="decimal"/>
      <w:start w:val="101"/>
    </w:lvl>
  </w:abstractNum>
  <w:abstractNum w:abstractNumId="103">
    <w:nsid w:val="69E373"/>
    <w:multiLevelType w:val="hybridMultilevel"/>
    <w:lvl w:ilvl="0">
      <w:lvlJc w:val="left"/>
      <w:lvlText w:val="*"/>
      <w:numFmt w:val="bullet"/>
      <w:start w:val="1"/>
    </w:lvl>
  </w:abstractNum>
  <w:abstractNum w:abstractNumId="104">
    <w:nsid w:val="2C27173B"/>
    <w:multiLevelType w:val="hybridMultilevel"/>
    <w:lvl w:ilvl="0">
      <w:lvlJc w:val="left"/>
      <w:lvlText w:val="**"/>
      <w:numFmt w:val="bullet"/>
      <w:start w:val="1"/>
    </w:lvl>
  </w:abstractNum>
  <w:abstractNum w:abstractNumId="105">
    <w:nsid w:val="4C9B0904"/>
    <w:multiLevelType w:val="hybridMultilevel"/>
    <w:lvl w:ilvl="0">
      <w:lvlJc w:val="left"/>
      <w:lvlText w:val="X"/>
      <w:numFmt w:val="bullet"/>
      <w:start w:val="1"/>
    </w:lvl>
  </w:abstractNum>
  <w:abstractNum w:abstractNumId="106">
    <w:nsid w:val="6AA7B75C"/>
    <w:multiLevelType w:val="hybridMultilevel"/>
    <w:lvl w:ilvl="0">
      <w:lvlJc w:val="left"/>
      <w:lvlText w:val="%1"/>
      <w:numFmt w:val="decimal"/>
      <w:start w:val="1"/>
    </w:lvl>
    <w:lvl w:ilvl="1">
      <w:lvlJc w:val="left"/>
      <w:lvlText w:val="(%2)"/>
      <w:numFmt w:val="lowerLetter"/>
      <w:start w:val="2"/>
    </w:lvl>
  </w:abstractNum>
  <w:abstractNum w:abstractNumId="107">
    <w:nsid w:val="1DF029D3"/>
    <w:multiLevelType w:val="hybridMultilevel"/>
    <w:lvl w:ilvl="0">
      <w:lvlJc w:val="left"/>
      <w:lvlText w:val="%1"/>
      <w:numFmt w:val="decimal"/>
      <w:start w:val="1"/>
    </w:lvl>
    <w:lvl w:ilvl="1">
      <w:lvlJc w:val="left"/>
      <w:lvlText w:val="(%2)"/>
      <w:numFmt w:val="lowerLetter"/>
      <w:start w:val="1"/>
    </w:lvl>
  </w:abstractNum>
  <w:abstractNum w:abstractNumId="108">
    <w:nsid w:val="5675FF36"/>
    <w:multiLevelType w:val="hybridMultilevel"/>
    <w:lvl w:ilvl="0">
      <w:lvlJc w:val="left"/>
      <w:lvlText w:val="(%1)"/>
      <w:numFmt w:val="decimal"/>
      <w:start w:val="1"/>
    </w:lvl>
    <w:lvl w:ilvl="1">
      <w:lvlJc w:val="left"/>
      <w:lvlText w:val="%2"/>
      <w:numFmt w:val="lowerLetter"/>
      <w:start w:val="1"/>
    </w:lvl>
  </w:abstractNum>
  <w:abstractNum w:abstractNumId="109">
    <w:nsid w:val="3DD15094"/>
    <w:multiLevelType w:val="hybridMultilevel"/>
    <w:lvl w:ilvl="0">
      <w:lvlJc w:val="left"/>
      <w:lvlText w:val="(%1)"/>
      <w:numFmt w:val="lowerLetter"/>
      <w:start w:val="24"/>
    </w:lvl>
  </w:abstractNum>
  <w:abstractNum w:abstractNumId="110">
    <w:nsid w:val="3DB012B3"/>
    <w:multiLevelType w:val="hybridMultilevel"/>
    <w:lvl w:ilvl="0">
      <w:lvlJc w:val="left"/>
      <w:lvlText w:val="%1"/>
      <w:numFmt w:val="lowerRoman"/>
      <w:start w:val="1"/>
    </w:lvl>
    <w:lvl w:ilvl="1">
      <w:lvlJc w:val="left"/>
      <w:lvlText w:val="(%2)"/>
      <w:numFmt w:val="decimal"/>
      <w:start w:val="3"/>
    </w:lvl>
    <w:lvl w:ilvl="2">
      <w:lvlJc w:val="left"/>
      <w:lvlText w:val="(%3)"/>
      <w:numFmt w:val="upperLetter"/>
      <w:start w:val="1"/>
    </w:lvl>
  </w:abstractNum>
  <w:abstractNum w:abstractNumId="111">
    <w:nsid w:val="2708C9AF"/>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112">
    <w:nsid w:val="5B25ACE2"/>
    <w:multiLevelType w:val="hybridMultilevel"/>
    <w:lvl w:ilvl="0">
      <w:lvlJc w:val="left"/>
      <w:lvlText w:val="%1"/>
      <w:numFmt w:val="upperLetter"/>
      <w:start w:val="1"/>
    </w:lvl>
    <w:lvl w:ilvl="1">
      <w:lvlJc w:val="left"/>
      <w:lvlText w:val="(%2)"/>
      <w:numFmt w:val="upperLetter"/>
      <w:start w:val="2"/>
    </w:lvl>
  </w:abstractNum>
  <w:abstractNum w:abstractNumId="113">
    <w:nsid w:val="175DFCF0"/>
    <w:multiLevelType w:val="hybridMultilevel"/>
    <w:lvl w:ilvl="0">
      <w:lvlJc w:val="left"/>
      <w:lvlText w:val="(%1)"/>
      <w:numFmt w:val="upperLetter"/>
      <w:start w:val="1"/>
    </w:lvl>
    <w:lvl w:ilvl="1">
      <w:lvlJc w:val="left"/>
      <w:lvlText w:val="%2"/>
      <w:numFmt w:val="upperLetter"/>
      <w:start w:val="1"/>
    </w:lvl>
  </w:abstractNum>
  <w:abstractNum w:abstractNumId="114">
    <w:nsid w:val="4F97E3E4"/>
    <w:multiLevelType w:val="hybridMultilevel"/>
    <w:lvl w:ilvl="0">
      <w:lvlJc w:val="left"/>
      <w:lvlText w:val="(%1)"/>
      <w:numFmt w:val="lowerRoman"/>
      <w:start w:val="2"/>
    </w:lvl>
  </w:abstractNum>
  <w:abstractNum w:abstractNumId="115">
    <w:nsid w:val="53B0A9E"/>
    <w:multiLevelType w:val="hybridMultilevel"/>
    <w:lvl w:ilvl="0">
      <w:lvlJc w:val="left"/>
      <w:lvlText w:val="(%1)"/>
      <w:numFmt w:val="lowerRoman"/>
      <w:start w:val="2"/>
    </w:lvl>
  </w:abstractNum>
  <w:abstractNum w:abstractNumId="116">
    <w:nsid w:val="34FD6B4F"/>
    <w:multiLevelType w:val="hybridMultilevel"/>
    <w:lvl w:ilvl="0">
      <w:lvlJc w:val="left"/>
      <w:lvlText w:val="(%1)"/>
      <w:numFmt w:val="decimal"/>
      <w:start w:val="3"/>
    </w:lvl>
  </w:abstractNum>
  <w:abstractNum w:abstractNumId="117">
    <w:nsid w:val="5915FF32"/>
    <w:multiLevelType w:val="hybridMultilevel"/>
    <w:lvl w:ilvl="0">
      <w:lvlJc w:val="left"/>
      <w:lvlText w:val="(%1)"/>
      <w:numFmt w:val="decimal"/>
      <w:start w:val="5"/>
    </w:lvl>
    <w:lvl w:ilvl="1">
      <w:lvlJc w:val="left"/>
      <w:lvlText w:val="(%2)"/>
      <w:numFmt w:val="lowerLetter"/>
      <w:start w:val="2"/>
    </w:lvl>
  </w:abstractNum>
  <w:abstractNum w:abstractNumId="118">
    <w:nsid w:val="56438D15"/>
    <w:multiLevelType w:val="hybridMultilevel"/>
    <w:lvl w:ilvl="0">
      <w:lvlJc w:val="left"/>
      <w:lvlText w:val="(%1)"/>
      <w:numFmt w:val="lowerRoman"/>
      <w:start w:val="3"/>
    </w:lvl>
  </w:abstractNum>
  <w:abstractNum w:abstractNumId="119">
    <w:nsid w:val="519E3149"/>
    <w:multiLevelType w:val="hybridMultilevel"/>
    <w:lvl w:ilvl="0">
      <w:lvlJc w:val="left"/>
      <w:lvlText w:val="(%1)"/>
      <w:numFmt w:val="upperLetter"/>
      <w:start w:val="1"/>
    </w:lvl>
  </w:abstractNum>
  <w:abstractNum w:abstractNumId="120">
    <w:nsid w:val="2C6E4AFD"/>
    <w:multiLevelType w:val="hybridMultilevel"/>
    <w:lvl w:ilvl="0">
      <w:lvlJc w:val="left"/>
      <w:lvlText w:val="(%1)"/>
      <w:numFmt w:val="lowerLetter"/>
      <w:start w:val="26"/>
    </w:lvl>
  </w:abstractNum>
  <w:abstractNum w:abstractNumId="121">
    <w:nsid w:val="17A1B582"/>
    <w:multiLevelType w:val="hybridMultilevel"/>
    <w:lvl w:ilvl="0">
      <w:lvlJc w:val="left"/>
      <w:lvlText w:val="(%1)"/>
      <w:numFmt w:val="lowerLetter"/>
      <w:start w:val="24"/>
    </w:lvl>
  </w:abstractNum>
  <w:abstractNum w:abstractNumId="122">
    <w:nsid w:val="4DF72E4E"/>
    <w:multiLevelType w:val="hybridMultilevel"/>
    <w:lvl w:ilvl="0">
      <w:lvlJc w:val="left"/>
      <w:lvlText w:val="%1"/>
      <w:numFmt w:val="lowerLetter"/>
      <w:start w:val="1"/>
    </w:lvl>
    <w:lvl w:ilvl="1">
      <w:lvlJc w:val="left"/>
      <w:lvlText w:val="(%2)"/>
      <w:numFmt w:val="lowerLetter"/>
      <w:start w:val="25"/>
    </w:lvl>
    <w:lvl w:ilvl="2">
      <w:lvlJc w:val="left"/>
      <w:lvlText w:val="(%3)"/>
      <w:numFmt w:val="lowerLetter"/>
      <w:start w:val="3"/>
    </w:lvl>
  </w:abstractNum>
  <w:abstractNum w:abstractNumId="123">
    <w:nsid w:val="5046B5A9"/>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1"/>
    </w:lvl>
  </w:abstractNum>
  <w:abstractNum w:abstractNumId="124">
    <w:nsid w:val="5D888A08"/>
    <w:multiLevelType w:val="hybridMultilevel"/>
    <w:lvl w:ilvl="0">
      <w:lvlJc w:val="left"/>
      <w:lvlText w:val="(%1)"/>
      <w:numFmt w:val="lowerRoman"/>
      <w:start w:val="1"/>
    </w:lvl>
  </w:abstractNum>
  <w:abstractNum w:abstractNumId="125">
    <w:nsid w:val="2A082C70"/>
    <w:multiLevelType w:val="hybridMultilevel"/>
    <w:lvl w:ilvl="0">
      <w:lvlJc w:val="left"/>
      <w:lvlText w:val="(%1)"/>
      <w:numFmt w:val="lowerRoman"/>
      <w:start w:val="3"/>
    </w:lvl>
  </w:abstractNum>
  <w:abstractNum w:abstractNumId="126">
    <w:nsid w:val="5EC6AFD4"/>
    <w:multiLevelType w:val="hybridMultilevel"/>
    <w:lvl w:ilvl="0">
      <w:lvlJc w:val="left"/>
      <w:lvlText w:val="(%1)"/>
      <w:numFmt w:val="lowerRoman"/>
      <w:start w:val="4"/>
    </w:lvl>
    <w:lvl w:ilvl="1">
      <w:lvlJc w:val="left"/>
      <w:lvlText w:val="(%2)"/>
      <w:numFmt w:val="lowerLetter"/>
      <w:start w:val="4"/>
    </w:lvl>
  </w:abstractNum>
  <w:abstractNum w:abstractNumId="127">
    <w:nsid w:val="19E21BB2"/>
    <w:multiLevelType w:val="hybridMultilevel"/>
    <w:lvl w:ilvl="0">
      <w:lvlJc w:val="left"/>
      <w:lvlText w:val="(%1)"/>
      <w:numFmt w:val="lowerRoman"/>
      <w:start w:val="1"/>
    </w:lvl>
  </w:abstractNum>
  <w:abstractNum w:abstractNumId="128">
    <w:nsid w:val="75E0858A"/>
    <w:multiLevelType w:val="hybridMultilevel"/>
    <w:lvl w:ilvl="0">
      <w:lvlJc w:val="left"/>
      <w:lvlText w:val="(%1)"/>
      <w:numFmt w:val="lowerLetter"/>
      <w:start w:val="2"/>
    </w:lvl>
  </w:abstractNum>
  <w:abstractNum w:abstractNumId="129">
    <w:nsid w:val="57A61A29"/>
    <w:multiLevelType w:val="hybridMultilevel"/>
    <w:lvl w:ilvl="0">
      <w:lvlJc w:val="left"/>
      <w:lvlText w:val="☐"/>
      <w:numFmt w:val="bullet"/>
      <w:start w:val="1"/>
    </w:lvl>
  </w:abstractNum>
  <w:abstractNum w:abstractNumId="130">
    <w:nsid w:val="5399C654"/>
    <w:multiLevelType w:val="hybridMultilevel"/>
    <w:lvl w:ilvl="0">
      <w:lvlJc w:val="left"/>
      <w:lvlText w:val="%1."/>
      <w:numFmt w:val="decimal"/>
      <w:start w:val="1"/>
    </w:lvl>
    <w:lvl w:ilvl="1">
      <w:lvlJc w:val="left"/>
      <w:lvlText w:val="%2."/>
      <w:numFmt w:val="lowerLetter"/>
      <w:start w:val="1"/>
    </w:lvl>
  </w:abstractNum>
  <w:abstractNum w:abstractNumId="131">
    <w:nsid w:val="20EE134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2019-12-07T16:45:13Z</dcterms:created>
  <dcterms:modified xsi:type="dcterms:W3CDTF">2019-12-07T16:45:13Z</dcterms:modified>
</cp:coreProperties>
</file>